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045C" w14:textId="0AC31EB4" w:rsidR="0085120C" w:rsidRPr="008C0B79" w:rsidRDefault="00776240" w:rsidP="008C0B79">
      <w:pPr>
        <w:jc w:val="center"/>
        <w:rPr>
          <w:b/>
          <w:bCs/>
          <w:sz w:val="48"/>
          <w:szCs w:val="48"/>
        </w:rPr>
      </w:pPr>
      <w:r w:rsidRPr="008C0B79">
        <w:rPr>
          <w:rFonts w:hint="eastAsia"/>
          <w:b/>
          <w:bCs/>
          <w:sz w:val="48"/>
          <w:szCs w:val="48"/>
        </w:rPr>
        <w:t>期待迎来慢牛，</w:t>
      </w:r>
      <w:r w:rsidR="008C0B79" w:rsidRPr="008C0B79">
        <w:rPr>
          <w:rFonts w:hint="eastAsia"/>
          <w:b/>
          <w:bCs/>
          <w:sz w:val="48"/>
          <w:szCs w:val="48"/>
        </w:rPr>
        <w:t>结构机会依然</w:t>
      </w:r>
    </w:p>
    <w:p w14:paraId="51CC87A5" w14:textId="2E7C9E55" w:rsidR="00776240" w:rsidRDefault="00776240"/>
    <w:p w14:paraId="1C166ED6" w14:textId="3C83BF1F" w:rsidR="0051504E" w:rsidRDefault="0051504E" w:rsidP="0051504E">
      <w:pPr>
        <w:spacing w:line="360" w:lineRule="auto"/>
        <w:ind w:firstLineChars="200" w:firstLine="480"/>
        <w:rPr>
          <w:sz w:val="24"/>
          <w:szCs w:val="24"/>
        </w:rPr>
      </w:pPr>
      <w:r>
        <w:rPr>
          <w:rFonts w:hint="eastAsia"/>
          <w:sz w:val="24"/>
          <w:szCs w:val="24"/>
        </w:rPr>
        <w:t>回顾</w:t>
      </w:r>
      <w:r w:rsidRPr="006E46A5">
        <w:rPr>
          <w:sz w:val="24"/>
          <w:szCs w:val="24"/>
        </w:rPr>
        <w:t>2019年</w:t>
      </w:r>
      <w:r>
        <w:rPr>
          <w:rFonts w:hint="eastAsia"/>
          <w:sz w:val="24"/>
          <w:szCs w:val="24"/>
        </w:rPr>
        <w:t>A股</w:t>
      </w:r>
      <w:r w:rsidR="00F90D5D">
        <w:rPr>
          <w:rFonts w:hint="eastAsia"/>
          <w:sz w:val="24"/>
          <w:szCs w:val="24"/>
        </w:rPr>
        <w:t>市场</w:t>
      </w:r>
      <w:r>
        <w:rPr>
          <w:rFonts w:hint="eastAsia"/>
          <w:sz w:val="24"/>
          <w:szCs w:val="24"/>
        </w:rPr>
        <w:t>，在经历2</w:t>
      </w:r>
      <w:r>
        <w:rPr>
          <w:sz w:val="24"/>
          <w:szCs w:val="24"/>
        </w:rPr>
        <w:t>018</w:t>
      </w:r>
      <w:r>
        <w:rPr>
          <w:rFonts w:hint="eastAsia"/>
          <w:sz w:val="24"/>
          <w:szCs w:val="24"/>
        </w:rPr>
        <w:t>年中美贸易战和国内去杠杆导致A</w:t>
      </w:r>
      <w:proofErr w:type="gramStart"/>
      <w:r>
        <w:rPr>
          <w:rFonts w:hint="eastAsia"/>
          <w:sz w:val="24"/>
          <w:szCs w:val="24"/>
        </w:rPr>
        <w:t>股</w:t>
      </w:r>
      <w:r w:rsidR="00766A7B">
        <w:rPr>
          <w:rFonts w:hint="eastAsia"/>
          <w:sz w:val="24"/>
          <w:szCs w:val="24"/>
        </w:rPr>
        <w:t>历史表现第二差</w:t>
      </w:r>
      <w:proofErr w:type="gramEnd"/>
      <w:r>
        <w:rPr>
          <w:rFonts w:hint="eastAsia"/>
          <w:sz w:val="24"/>
          <w:szCs w:val="24"/>
        </w:rPr>
        <w:t>的背景下，2</w:t>
      </w:r>
      <w:r>
        <w:rPr>
          <w:sz w:val="24"/>
          <w:szCs w:val="24"/>
        </w:rPr>
        <w:t>019</w:t>
      </w:r>
      <w:r>
        <w:rPr>
          <w:rFonts w:hint="eastAsia"/>
          <w:sz w:val="24"/>
          <w:szCs w:val="24"/>
        </w:rPr>
        <w:t>年在</w:t>
      </w:r>
      <w:r w:rsidRPr="006E46A5">
        <w:rPr>
          <w:sz w:val="24"/>
          <w:szCs w:val="24"/>
        </w:rPr>
        <w:t>宏观政策放松、中美贸易战缓和等</w:t>
      </w:r>
      <w:r w:rsidR="00766A7B">
        <w:rPr>
          <w:rFonts w:hint="eastAsia"/>
          <w:sz w:val="24"/>
          <w:szCs w:val="24"/>
        </w:rPr>
        <w:t>诸多</w:t>
      </w:r>
      <w:r w:rsidRPr="006E46A5">
        <w:rPr>
          <w:sz w:val="24"/>
          <w:szCs w:val="24"/>
        </w:rPr>
        <w:t>利好因素推动下</w:t>
      </w:r>
      <w:proofErr w:type="gramStart"/>
      <w:r w:rsidR="00766A7B">
        <w:rPr>
          <w:rFonts w:hint="eastAsia"/>
          <w:sz w:val="24"/>
          <w:szCs w:val="24"/>
        </w:rPr>
        <w:t>全年</w:t>
      </w:r>
      <w:r w:rsidR="00311587">
        <w:rPr>
          <w:rFonts w:hint="eastAsia"/>
          <w:sz w:val="24"/>
          <w:szCs w:val="24"/>
        </w:rPr>
        <w:t>上</w:t>
      </w:r>
      <w:proofErr w:type="gramEnd"/>
      <w:r w:rsidR="00311587">
        <w:rPr>
          <w:rFonts w:hint="eastAsia"/>
          <w:sz w:val="24"/>
          <w:szCs w:val="24"/>
        </w:rPr>
        <w:t>证综指</w:t>
      </w:r>
      <w:r w:rsidR="00766A7B">
        <w:rPr>
          <w:rFonts w:hint="eastAsia"/>
          <w:sz w:val="24"/>
          <w:szCs w:val="24"/>
        </w:rPr>
        <w:t>大</w:t>
      </w:r>
      <w:r w:rsidRPr="006E46A5">
        <w:rPr>
          <w:sz w:val="24"/>
          <w:szCs w:val="24"/>
        </w:rPr>
        <w:t>涨</w:t>
      </w:r>
      <w:r w:rsidR="00766A7B">
        <w:rPr>
          <w:rFonts w:hint="eastAsia"/>
          <w:sz w:val="24"/>
          <w:szCs w:val="24"/>
        </w:rPr>
        <w:t>22.3%</w:t>
      </w:r>
      <w:r w:rsidRPr="006E46A5">
        <w:rPr>
          <w:sz w:val="24"/>
          <w:szCs w:val="24"/>
        </w:rPr>
        <w:t>。</w:t>
      </w:r>
    </w:p>
    <w:p w14:paraId="23A6D8BE" w14:textId="69D3CA1C" w:rsidR="0051504E" w:rsidRDefault="00D00764" w:rsidP="0051504E">
      <w:pPr>
        <w:spacing w:line="360" w:lineRule="auto"/>
        <w:ind w:firstLineChars="200" w:firstLine="480"/>
        <w:rPr>
          <w:sz w:val="24"/>
          <w:szCs w:val="24"/>
        </w:rPr>
      </w:pPr>
      <w:r>
        <w:rPr>
          <w:rFonts w:hint="eastAsia"/>
          <w:sz w:val="24"/>
          <w:szCs w:val="24"/>
        </w:rPr>
        <w:t>站在当前时点</w:t>
      </w:r>
      <w:r w:rsidR="0051504E">
        <w:rPr>
          <w:rFonts w:hint="eastAsia"/>
          <w:sz w:val="24"/>
          <w:szCs w:val="24"/>
        </w:rPr>
        <w:t>，</w:t>
      </w:r>
      <w:r w:rsidR="00E437E3">
        <w:rPr>
          <w:rFonts w:hint="eastAsia"/>
          <w:sz w:val="24"/>
          <w:szCs w:val="24"/>
        </w:rPr>
        <w:t>展望2020年股市</w:t>
      </w:r>
      <w:r w:rsidR="0051504E">
        <w:rPr>
          <w:rFonts w:hint="eastAsia"/>
          <w:sz w:val="24"/>
          <w:szCs w:val="24"/>
        </w:rPr>
        <w:t>能否</w:t>
      </w:r>
      <w:r w:rsidR="00E437E3">
        <w:rPr>
          <w:rFonts w:hint="eastAsia"/>
          <w:sz w:val="24"/>
          <w:szCs w:val="24"/>
        </w:rPr>
        <w:t>延续2019年的行情，继续大涨</w:t>
      </w:r>
      <w:r w:rsidR="00FD1FE2">
        <w:rPr>
          <w:rFonts w:hint="eastAsia"/>
          <w:sz w:val="24"/>
          <w:szCs w:val="24"/>
        </w:rPr>
        <w:t>？市场有观点认为历史上</w:t>
      </w:r>
      <w:r w:rsidR="00085C6B">
        <w:rPr>
          <w:rFonts w:hint="eastAsia"/>
          <w:sz w:val="24"/>
          <w:szCs w:val="24"/>
        </w:rPr>
        <w:t>每次证券法修订后</w:t>
      </w:r>
      <w:r w:rsidR="00FD1FE2">
        <w:rPr>
          <w:rFonts w:hint="eastAsia"/>
          <w:sz w:val="24"/>
          <w:szCs w:val="24"/>
        </w:rPr>
        <w:t>，</w:t>
      </w:r>
      <w:r w:rsidR="00085C6B">
        <w:rPr>
          <w:rFonts w:hint="eastAsia"/>
          <w:sz w:val="24"/>
          <w:szCs w:val="24"/>
        </w:rPr>
        <w:t>股市都会迎来一波大牛市</w:t>
      </w:r>
      <w:r w:rsidR="00FD1FE2">
        <w:rPr>
          <w:rFonts w:hint="eastAsia"/>
          <w:sz w:val="24"/>
          <w:szCs w:val="24"/>
        </w:rPr>
        <w:t>。</w:t>
      </w:r>
      <w:r w:rsidR="0051504E">
        <w:rPr>
          <w:rFonts w:hint="eastAsia"/>
          <w:sz w:val="24"/>
          <w:szCs w:val="24"/>
        </w:rPr>
        <w:t>我们认为</w:t>
      </w:r>
      <w:r w:rsidR="000724FB">
        <w:rPr>
          <w:rFonts w:hint="eastAsia"/>
          <w:sz w:val="24"/>
          <w:szCs w:val="24"/>
        </w:rPr>
        <w:t>此类</w:t>
      </w:r>
      <w:r w:rsidR="00DD1A65">
        <w:rPr>
          <w:rFonts w:hint="eastAsia"/>
          <w:sz w:val="24"/>
          <w:szCs w:val="24"/>
        </w:rPr>
        <w:t>事件统计样本过少，不能</w:t>
      </w:r>
      <w:r w:rsidR="005619EA">
        <w:rPr>
          <w:rFonts w:hint="eastAsia"/>
          <w:sz w:val="24"/>
          <w:szCs w:val="24"/>
        </w:rPr>
        <w:t>简单地以此</w:t>
      </w:r>
      <w:r w:rsidR="00321415">
        <w:rPr>
          <w:rFonts w:hint="eastAsia"/>
          <w:sz w:val="24"/>
          <w:szCs w:val="24"/>
        </w:rPr>
        <w:t>类推</w:t>
      </w:r>
      <w:r w:rsidR="00131AD3">
        <w:rPr>
          <w:rFonts w:hint="eastAsia"/>
          <w:sz w:val="24"/>
          <w:szCs w:val="24"/>
        </w:rPr>
        <w:t>，</w:t>
      </w:r>
      <w:r w:rsidR="000F57CF">
        <w:rPr>
          <w:rFonts w:hint="eastAsia"/>
          <w:sz w:val="24"/>
          <w:szCs w:val="24"/>
        </w:rPr>
        <w:t>A</w:t>
      </w:r>
      <w:r w:rsidR="00CA1FF5">
        <w:rPr>
          <w:rFonts w:hint="eastAsia"/>
          <w:sz w:val="24"/>
          <w:szCs w:val="24"/>
        </w:rPr>
        <w:t>股</w:t>
      </w:r>
      <w:r w:rsidR="00AD6897">
        <w:rPr>
          <w:rFonts w:hint="eastAsia"/>
          <w:sz w:val="24"/>
          <w:szCs w:val="24"/>
        </w:rPr>
        <w:t>历史上</w:t>
      </w:r>
      <w:r w:rsidR="00131AD3">
        <w:rPr>
          <w:rFonts w:hint="eastAsia"/>
          <w:sz w:val="24"/>
          <w:szCs w:val="24"/>
        </w:rPr>
        <w:t>也仅有两波大牛市</w:t>
      </w:r>
      <w:r w:rsidR="0059460E">
        <w:rPr>
          <w:rFonts w:hint="eastAsia"/>
          <w:sz w:val="24"/>
          <w:szCs w:val="24"/>
        </w:rPr>
        <w:t>。2020年宏观经济仍有不确定性，上市公司业绩很难大幅提升，</w:t>
      </w:r>
      <w:r w:rsidR="00984D32">
        <w:rPr>
          <w:rFonts w:hint="eastAsia"/>
          <w:sz w:val="24"/>
          <w:szCs w:val="24"/>
        </w:rPr>
        <w:t>在</w:t>
      </w:r>
      <w:r w:rsidR="002A33CD">
        <w:rPr>
          <w:rFonts w:hint="eastAsia"/>
          <w:sz w:val="24"/>
          <w:szCs w:val="24"/>
        </w:rPr>
        <w:t>央行流动性不</w:t>
      </w:r>
      <w:r w:rsidR="00984D32">
        <w:rPr>
          <w:rFonts w:hint="eastAsia"/>
          <w:sz w:val="24"/>
          <w:szCs w:val="24"/>
        </w:rPr>
        <w:t>大</w:t>
      </w:r>
      <w:r w:rsidR="002A33CD">
        <w:rPr>
          <w:rFonts w:hint="eastAsia"/>
          <w:sz w:val="24"/>
          <w:szCs w:val="24"/>
        </w:rPr>
        <w:t>放水</w:t>
      </w:r>
      <w:r w:rsidR="00984D32">
        <w:rPr>
          <w:rFonts w:hint="eastAsia"/>
          <w:sz w:val="24"/>
          <w:szCs w:val="24"/>
        </w:rPr>
        <w:t>的背景下</w:t>
      </w:r>
      <w:r w:rsidR="002A33CD">
        <w:rPr>
          <w:rFonts w:hint="eastAsia"/>
          <w:sz w:val="24"/>
          <w:szCs w:val="24"/>
        </w:rPr>
        <w:t>，</w:t>
      </w:r>
      <w:r w:rsidR="00F27120">
        <w:rPr>
          <w:rFonts w:hint="eastAsia"/>
          <w:sz w:val="24"/>
          <w:szCs w:val="24"/>
        </w:rPr>
        <w:t>估值也</w:t>
      </w:r>
      <w:r w:rsidR="00517D4B">
        <w:rPr>
          <w:rFonts w:hint="eastAsia"/>
          <w:sz w:val="24"/>
          <w:szCs w:val="24"/>
        </w:rPr>
        <w:t>难</w:t>
      </w:r>
      <w:r w:rsidR="00F27120">
        <w:rPr>
          <w:rFonts w:hint="eastAsia"/>
          <w:sz w:val="24"/>
          <w:szCs w:val="24"/>
        </w:rPr>
        <w:t>以大幅提升</w:t>
      </w:r>
      <w:r w:rsidR="00CC07D4">
        <w:rPr>
          <w:rFonts w:hint="eastAsia"/>
          <w:sz w:val="24"/>
          <w:szCs w:val="24"/>
        </w:rPr>
        <w:t>，</w:t>
      </w:r>
      <w:r w:rsidR="00984D32">
        <w:rPr>
          <w:rFonts w:hint="eastAsia"/>
          <w:sz w:val="24"/>
          <w:szCs w:val="24"/>
        </w:rPr>
        <w:t>因此</w:t>
      </w:r>
      <w:r w:rsidR="00CC07D4">
        <w:rPr>
          <w:rFonts w:hint="eastAsia"/>
          <w:sz w:val="24"/>
          <w:szCs w:val="24"/>
        </w:rPr>
        <w:t>我们判断2020年</w:t>
      </w:r>
      <w:r w:rsidR="002A33CD">
        <w:rPr>
          <w:rFonts w:hint="eastAsia"/>
          <w:sz w:val="24"/>
          <w:szCs w:val="24"/>
        </w:rPr>
        <w:t>更多地可能是</w:t>
      </w:r>
      <w:r w:rsidR="00507267">
        <w:rPr>
          <w:rFonts w:hint="eastAsia"/>
          <w:sz w:val="24"/>
          <w:szCs w:val="24"/>
        </w:rPr>
        <w:t>结构性慢牛行情</w:t>
      </w:r>
      <w:r w:rsidR="0037357B">
        <w:rPr>
          <w:rFonts w:hint="eastAsia"/>
          <w:sz w:val="24"/>
          <w:szCs w:val="24"/>
        </w:rPr>
        <w:t>，同时A股</w:t>
      </w:r>
      <w:r w:rsidR="0051504E">
        <w:rPr>
          <w:rFonts w:hint="eastAsia"/>
          <w:sz w:val="24"/>
          <w:szCs w:val="24"/>
        </w:rPr>
        <w:t>市场将具有以下几个特点：</w:t>
      </w:r>
    </w:p>
    <w:p w14:paraId="52D5B20F" w14:textId="77777777" w:rsidR="0051504E" w:rsidRPr="00973B86" w:rsidRDefault="0051504E" w:rsidP="0051504E">
      <w:pPr>
        <w:spacing w:line="360" w:lineRule="auto"/>
        <w:ind w:firstLineChars="200" w:firstLine="480"/>
        <w:rPr>
          <w:sz w:val="24"/>
          <w:szCs w:val="24"/>
        </w:rPr>
      </w:pPr>
      <w:bookmarkStart w:id="0" w:name="_GoBack"/>
      <w:bookmarkEnd w:id="0"/>
    </w:p>
    <w:p w14:paraId="6B1CDCC3" w14:textId="196A5BAB" w:rsidR="0051504E" w:rsidRPr="0094717D" w:rsidRDefault="0051504E" w:rsidP="0051504E">
      <w:pPr>
        <w:spacing w:line="360" w:lineRule="auto"/>
        <w:rPr>
          <w:b/>
          <w:bCs/>
          <w:sz w:val="24"/>
          <w:szCs w:val="24"/>
        </w:rPr>
      </w:pPr>
      <w:r w:rsidRPr="0094717D">
        <w:rPr>
          <w:rFonts w:hint="eastAsia"/>
          <w:b/>
          <w:bCs/>
          <w:sz w:val="24"/>
          <w:szCs w:val="24"/>
        </w:rPr>
        <w:t>1、</w:t>
      </w:r>
      <w:r w:rsidR="00E87D84">
        <w:rPr>
          <w:rFonts w:hint="eastAsia"/>
          <w:b/>
          <w:bCs/>
          <w:sz w:val="24"/>
          <w:szCs w:val="24"/>
        </w:rPr>
        <w:t>宏观</w:t>
      </w:r>
      <w:r w:rsidRPr="0094717D">
        <w:rPr>
          <w:rFonts w:hint="eastAsia"/>
          <w:b/>
          <w:bCs/>
          <w:sz w:val="24"/>
          <w:szCs w:val="24"/>
        </w:rPr>
        <w:t>经济</w:t>
      </w:r>
      <w:r w:rsidR="00E87D84">
        <w:rPr>
          <w:rFonts w:hint="eastAsia"/>
          <w:b/>
          <w:bCs/>
          <w:sz w:val="24"/>
          <w:szCs w:val="24"/>
        </w:rPr>
        <w:t>仍有不确定性，</w:t>
      </w:r>
      <w:r w:rsidR="00324E53">
        <w:rPr>
          <w:rFonts w:hint="eastAsia"/>
          <w:b/>
          <w:bCs/>
          <w:sz w:val="24"/>
          <w:szCs w:val="24"/>
        </w:rPr>
        <w:t>上市公司业绩结构性增长</w:t>
      </w:r>
    </w:p>
    <w:p w14:paraId="34E34AE0" w14:textId="2A1A1E51" w:rsidR="00D63E9F" w:rsidRDefault="009F453B" w:rsidP="0051504E">
      <w:pPr>
        <w:spacing w:line="360" w:lineRule="auto"/>
        <w:ind w:firstLineChars="200" w:firstLine="480"/>
        <w:rPr>
          <w:sz w:val="24"/>
          <w:szCs w:val="24"/>
        </w:rPr>
      </w:pPr>
      <w:r>
        <w:rPr>
          <w:rFonts w:hint="eastAsia"/>
          <w:sz w:val="24"/>
          <w:szCs w:val="24"/>
        </w:rPr>
        <w:t>2019年随着美联储降息3次，中美贸易达成第一阶段协议</w:t>
      </w:r>
      <w:r w:rsidR="0051504E" w:rsidRPr="00973B86">
        <w:rPr>
          <w:rFonts w:hint="eastAsia"/>
          <w:sz w:val="24"/>
          <w:szCs w:val="24"/>
        </w:rPr>
        <w:t>，</w:t>
      </w:r>
      <w:r w:rsidR="0080636C">
        <w:rPr>
          <w:rFonts w:hint="eastAsia"/>
          <w:sz w:val="24"/>
          <w:szCs w:val="24"/>
        </w:rPr>
        <w:t>年末全球经济有所回</w:t>
      </w:r>
      <w:r w:rsidR="00B20140">
        <w:rPr>
          <w:rFonts w:hint="eastAsia"/>
          <w:sz w:val="24"/>
          <w:szCs w:val="24"/>
        </w:rPr>
        <w:t>升</w:t>
      </w:r>
      <w:r w:rsidR="0080636C">
        <w:rPr>
          <w:rFonts w:hint="eastAsia"/>
          <w:sz w:val="24"/>
          <w:szCs w:val="24"/>
        </w:rPr>
        <w:t>，但</w:t>
      </w:r>
      <w:r w:rsidR="00952F87">
        <w:rPr>
          <w:rFonts w:hint="eastAsia"/>
          <w:sz w:val="24"/>
          <w:szCs w:val="24"/>
        </w:rPr>
        <w:t>2020年宏观经济仍有不确定性</w:t>
      </w:r>
      <w:r w:rsidR="0051504E" w:rsidRPr="00973B86">
        <w:rPr>
          <w:rFonts w:hint="eastAsia"/>
          <w:sz w:val="24"/>
          <w:szCs w:val="24"/>
        </w:rPr>
        <w:t>，P</w:t>
      </w:r>
      <w:r w:rsidR="004A675F">
        <w:rPr>
          <w:rFonts w:hint="eastAsia"/>
          <w:sz w:val="24"/>
          <w:szCs w:val="24"/>
        </w:rPr>
        <w:t>MI</w:t>
      </w:r>
      <w:r w:rsidR="0051504E" w:rsidRPr="00973B86">
        <w:rPr>
          <w:rFonts w:hint="eastAsia"/>
          <w:sz w:val="24"/>
          <w:szCs w:val="24"/>
        </w:rPr>
        <w:t>、社零、</w:t>
      </w:r>
      <w:r w:rsidR="00D63E9F">
        <w:rPr>
          <w:rFonts w:hint="eastAsia"/>
          <w:sz w:val="24"/>
          <w:szCs w:val="24"/>
        </w:rPr>
        <w:t>固定资产</w:t>
      </w:r>
      <w:r w:rsidR="0051504E" w:rsidRPr="00973B86">
        <w:rPr>
          <w:rFonts w:hint="eastAsia"/>
          <w:sz w:val="24"/>
          <w:szCs w:val="24"/>
        </w:rPr>
        <w:t>投资增速</w:t>
      </w:r>
      <w:r w:rsidR="00B1192B">
        <w:rPr>
          <w:rFonts w:hint="eastAsia"/>
          <w:sz w:val="24"/>
          <w:szCs w:val="24"/>
        </w:rPr>
        <w:t>等</w:t>
      </w:r>
      <w:r w:rsidR="004A675F">
        <w:rPr>
          <w:rFonts w:hint="eastAsia"/>
          <w:sz w:val="24"/>
          <w:szCs w:val="24"/>
        </w:rPr>
        <w:t>虽略有回升</w:t>
      </w:r>
      <w:r w:rsidR="0051504E">
        <w:rPr>
          <w:rFonts w:hint="eastAsia"/>
          <w:sz w:val="24"/>
          <w:szCs w:val="24"/>
        </w:rPr>
        <w:t>，</w:t>
      </w:r>
      <w:r w:rsidR="00B1192B">
        <w:rPr>
          <w:rFonts w:hint="eastAsia"/>
          <w:sz w:val="24"/>
          <w:szCs w:val="24"/>
        </w:rPr>
        <w:t>但总体经济数据仍较弱</w:t>
      </w:r>
      <w:r w:rsidR="0051504E">
        <w:rPr>
          <w:rFonts w:hint="eastAsia"/>
          <w:sz w:val="24"/>
          <w:szCs w:val="24"/>
        </w:rPr>
        <w:t>，</w:t>
      </w:r>
      <w:r w:rsidR="00D63E9F">
        <w:rPr>
          <w:rFonts w:hint="eastAsia"/>
          <w:sz w:val="24"/>
          <w:szCs w:val="24"/>
        </w:rPr>
        <w:t>2020年是美国大选年</w:t>
      </w:r>
      <w:r w:rsidR="00925B4A">
        <w:rPr>
          <w:rFonts w:hint="eastAsia"/>
          <w:sz w:val="24"/>
          <w:szCs w:val="24"/>
        </w:rPr>
        <w:t>，中美第二阶段贸易协议仍前途未卜，这些都增加了2020年经济的不确定性</w:t>
      </w:r>
      <w:r w:rsidR="00D63E9F">
        <w:rPr>
          <w:rFonts w:hint="eastAsia"/>
          <w:sz w:val="24"/>
          <w:szCs w:val="24"/>
        </w:rPr>
        <w:t>。</w:t>
      </w:r>
      <w:r w:rsidR="005E1799">
        <w:rPr>
          <w:rFonts w:hint="eastAsia"/>
          <w:sz w:val="24"/>
          <w:szCs w:val="24"/>
        </w:rPr>
        <w:t>在宏观经济</w:t>
      </w:r>
      <w:r w:rsidR="00033B15">
        <w:rPr>
          <w:rFonts w:hint="eastAsia"/>
          <w:sz w:val="24"/>
          <w:szCs w:val="24"/>
        </w:rPr>
        <w:t>不是很强</w:t>
      </w:r>
      <w:r w:rsidR="005E1799">
        <w:rPr>
          <w:rFonts w:hint="eastAsia"/>
          <w:sz w:val="24"/>
          <w:szCs w:val="24"/>
        </w:rPr>
        <w:t>的背景下，对企业盈利</w:t>
      </w:r>
      <w:r w:rsidR="003B51DC">
        <w:rPr>
          <w:rFonts w:hint="eastAsia"/>
          <w:sz w:val="24"/>
          <w:szCs w:val="24"/>
        </w:rPr>
        <w:t>增长不能期望过高，我们边走边看，上市公司的业绩</w:t>
      </w:r>
      <w:r w:rsidR="00383B33">
        <w:rPr>
          <w:rFonts w:hint="eastAsia"/>
          <w:sz w:val="24"/>
          <w:szCs w:val="24"/>
        </w:rPr>
        <w:t>更多地是结构性增长</w:t>
      </w:r>
      <w:r w:rsidR="00BC6222">
        <w:rPr>
          <w:rFonts w:hint="eastAsia"/>
          <w:sz w:val="24"/>
          <w:szCs w:val="24"/>
        </w:rPr>
        <w:t>。A股历史上也仅有两波大牛市，</w:t>
      </w:r>
      <w:r w:rsidR="00FE6A9C">
        <w:rPr>
          <w:rFonts w:hint="eastAsia"/>
          <w:sz w:val="24"/>
          <w:szCs w:val="24"/>
        </w:rPr>
        <w:t>在企业盈利</w:t>
      </w:r>
      <w:r w:rsidR="00321634">
        <w:rPr>
          <w:rFonts w:hint="eastAsia"/>
          <w:sz w:val="24"/>
          <w:szCs w:val="24"/>
        </w:rPr>
        <w:t>没有大幅提升、</w:t>
      </w:r>
      <w:r w:rsidR="00FE6A9C">
        <w:rPr>
          <w:rFonts w:hint="eastAsia"/>
          <w:sz w:val="24"/>
          <w:szCs w:val="24"/>
        </w:rPr>
        <w:t>央行流动性不大放水的背景下，估值也难以大幅提升，</w:t>
      </w:r>
      <w:r w:rsidR="0040779E">
        <w:rPr>
          <w:rFonts w:hint="eastAsia"/>
          <w:sz w:val="24"/>
          <w:szCs w:val="24"/>
        </w:rPr>
        <w:t>因此2020年</w:t>
      </w:r>
      <w:r w:rsidR="002A58E3">
        <w:rPr>
          <w:rFonts w:hint="eastAsia"/>
          <w:sz w:val="24"/>
          <w:szCs w:val="24"/>
        </w:rPr>
        <w:t>A股我们更多地是判断</w:t>
      </w:r>
      <w:r w:rsidR="00C23770">
        <w:rPr>
          <w:rFonts w:hint="eastAsia"/>
          <w:sz w:val="24"/>
          <w:szCs w:val="24"/>
        </w:rPr>
        <w:t>结构性</w:t>
      </w:r>
      <w:r w:rsidR="002A58E3">
        <w:rPr>
          <w:rFonts w:hint="eastAsia"/>
          <w:sz w:val="24"/>
          <w:szCs w:val="24"/>
        </w:rPr>
        <w:t>慢牛行情</w:t>
      </w:r>
      <w:r w:rsidR="003B51DC">
        <w:rPr>
          <w:rFonts w:hint="eastAsia"/>
          <w:sz w:val="24"/>
          <w:szCs w:val="24"/>
        </w:rPr>
        <w:t>。</w:t>
      </w:r>
    </w:p>
    <w:p w14:paraId="5B1C951B" w14:textId="77777777" w:rsidR="0051504E" w:rsidRPr="00FE6A9C" w:rsidRDefault="0051504E" w:rsidP="0051504E">
      <w:pPr>
        <w:spacing w:line="360" w:lineRule="auto"/>
        <w:rPr>
          <w:sz w:val="24"/>
          <w:szCs w:val="24"/>
        </w:rPr>
      </w:pPr>
    </w:p>
    <w:p w14:paraId="72911DB9" w14:textId="77777777" w:rsidR="0051504E" w:rsidRPr="0094717D" w:rsidRDefault="0051504E" w:rsidP="0051504E">
      <w:pPr>
        <w:spacing w:line="360" w:lineRule="auto"/>
        <w:rPr>
          <w:b/>
          <w:bCs/>
          <w:sz w:val="24"/>
          <w:szCs w:val="24"/>
        </w:rPr>
      </w:pPr>
      <w:r w:rsidRPr="0094717D">
        <w:rPr>
          <w:rFonts w:hint="eastAsia"/>
          <w:b/>
          <w:bCs/>
          <w:sz w:val="24"/>
          <w:szCs w:val="24"/>
        </w:rPr>
        <w:lastRenderedPageBreak/>
        <w:t>2、业绩突出的公司马太效应显著，资源向优势龙头公司集中</w:t>
      </w:r>
    </w:p>
    <w:p w14:paraId="442E3825" w14:textId="2B0EC58C" w:rsidR="0051504E" w:rsidRDefault="00AC7F72" w:rsidP="0051504E">
      <w:pPr>
        <w:spacing w:line="360" w:lineRule="auto"/>
        <w:ind w:firstLineChars="200" w:firstLine="480"/>
        <w:rPr>
          <w:sz w:val="24"/>
          <w:szCs w:val="24"/>
        </w:rPr>
      </w:pPr>
      <w:r>
        <w:rPr>
          <w:rFonts w:hint="eastAsia"/>
          <w:sz w:val="24"/>
          <w:szCs w:val="24"/>
        </w:rPr>
        <w:t>在</w:t>
      </w:r>
      <w:r w:rsidR="00865C61">
        <w:rPr>
          <w:rFonts w:hint="eastAsia"/>
          <w:sz w:val="24"/>
          <w:szCs w:val="24"/>
        </w:rPr>
        <w:t>结构性慢牛行情中，</w:t>
      </w:r>
      <w:r w:rsidR="00857AEB">
        <w:rPr>
          <w:rFonts w:hint="eastAsia"/>
          <w:sz w:val="24"/>
          <w:szCs w:val="24"/>
        </w:rPr>
        <w:t>业绩确定性强的龙头公司将</w:t>
      </w:r>
      <w:r w:rsidR="00490ADF">
        <w:rPr>
          <w:rFonts w:hint="eastAsia"/>
          <w:sz w:val="24"/>
          <w:szCs w:val="24"/>
        </w:rPr>
        <w:t>持续获得超额收益</w:t>
      </w:r>
      <w:r>
        <w:rPr>
          <w:rFonts w:hint="eastAsia"/>
          <w:sz w:val="24"/>
          <w:szCs w:val="24"/>
        </w:rPr>
        <w:t>。</w:t>
      </w:r>
      <w:r w:rsidR="0051504E" w:rsidRPr="00973B86">
        <w:rPr>
          <w:rFonts w:hint="eastAsia"/>
          <w:sz w:val="24"/>
          <w:szCs w:val="24"/>
        </w:rPr>
        <w:t>从</w:t>
      </w:r>
      <w:r w:rsidR="00857AEB">
        <w:rPr>
          <w:rFonts w:hint="eastAsia"/>
          <w:sz w:val="24"/>
          <w:szCs w:val="24"/>
        </w:rPr>
        <w:t>2019年3</w:t>
      </w:r>
      <w:r w:rsidR="0051504E" w:rsidRPr="00973B86">
        <w:rPr>
          <w:rFonts w:hint="eastAsia"/>
          <w:sz w:val="24"/>
          <w:szCs w:val="24"/>
        </w:rPr>
        <w:t>季度</w:t>
      </w:r>
      <w:r w:rsidR="0051504E">
        <w:rPr>
          <w:rFonts w:hint="eastAsia"/>
          <w:sz w:val="24"/>
          <w:szCs w:val="24"/>
        </w:rPr>
        <w:t>C</w:t>
      </w:r>
      <w:r w:rsidR="0051504E">
        <w:rPr>
          <w:sz w:val="24"/>
          <w:szCs w:val="24"/>
        </w:rPr>
        <w:t>R4</w:t>
      </w:r>
      <w:r w:rsidR="0051504E" w:rsidRPr="00973B86">
        <w:rPr>
          <w:rFonts w:hint="eastAsia"/>
          <w:sz w:val="24"/>
          <w:szCs w:val="24"/>
        </w:rPr>
        <w:t>营收占比来看，</w:t>
      </w:r>
      <w:r w:rsidR="0051504E">
        <w:rPr>
          <w:rFonts w:hint="eastAsia"/>
          <w:sz w:val="24"/>
          <w:szCs w:val="24"/>
        </w:rPr>
        <w:t>2</w:t>
      </w:r>
      <w:r w:rsidR="0051504E">
        <w:rPr>
          <w:sz w:val="24"/>
          <w:szCs w:val="24"/>
        </w:rPr>
        <w:t>8</w:t>
      </w:r>
      <w:r w:rsidR="0051504E">
        <w:rPr>
          <w:rFonts w:hint="eastAsia"/>
          <w:sz w:val="24"/>
          <w:szCs w:val="24"/>
        </w:rPr>
        <w:t>个</w:t>
      </w:r>
      <w:proofErr w:type="gramStart"/>
      <w:r w:rsidR="0051504E" w:rsidRPr="00973B86">
        <w:rPr>
          <w:rFonts w:hint="eastAsia"/>
          <w:sz w:val="24"/>
          <w:szCs w:val="24"/>
        </w:rPr>
        <w:t>申万一级行业</w:t>
      </w:r>
      <w:proofErr w:type="gramEnd"/>
      <w:r w:rsidR="0051504E" w:rsidRPr="00973B86">
        <w:rPr>
          <w:rFonts w:hint="eastAsia"/>
          <w:sz w:val="24"/>
          <w:szCs w:val="24"/>
        </w:rPr>
        <w:t>中</w:t>
      </w:r>
      <w:r w:rsidR="0051504E">
        <w:rPr>
          <w:rFonts w:hint="eastAsia"/>
          <w:sz w:val="24"/>
          <w:szCs w:val="24"/>
        </w:rPr>
        <w:t>有</w:t>
      </w:r>
      <w:r w:rsidR="0051504E" w:rsidRPr="00973B86">
        <w:rPr>
          <w:rFonts w:hint="eastAsia"/>
          <w:sz w:val="24"/>
          <w:szCs w:val="24"/>
        </w:rPr>
        <w:t>18个行业营收集中度进一步</w:t>
      </w:r>
      <w:r w:rsidR="0051504E">
        <w:rPr>
          <w:rFonts w:hint="eastAsia"/>
          <w:sz w:val="24"/>
          <w:szCs w:val="24"/>
        </w:rPr>
        <w:t>提升</w:t>
      </w:r>
      <w:r w:rsidR="0051504E" w:rsidRPr="00973B86">
        <w:rPr>
          <w:rFonts w:hint="eastAsia"/>
          <w:sz w:val="24"/>
          <w:szCs w:val="24"/>
        </w:rPr>
        <w:t>，</w:t>
      </w:r>
      <w:r w:rsidR="0051504E">
        <w:rPr>
          <w:rFonts w:hint="eastAsia"/>
          <w:sz w:val="24"/>
          <w:szCs w:val="24"/>
        </w:rPr>
        <w:t>其中</w:t>
      </w:r>
      <w:r w:rsidR="0051504E" w:rsidRPr="00973B86">
        <w:rPr>
          <w:rFonts w:hint="eastAsia"/>
          <w:sz w:val="24"/>
          <w:szCs w:val="24"/>
        </w:rPr>
        <w:t>建材、商贸、传媒、地产等</w:t>
      </w:r>
      <w:r w:rsidR="0051504E">
        <w:rPr>
          <w:rFonts w:hint="eastAsia"/>
          <w:sz w:val="24"/>
          <w:szCs w:val="24"/>
        </w:rPr>
        <w:t>行业</w:t>
      </w:r>
      <w:r w:rsidR="0051504E" w:rsidRPr="00973B86">
        <w:rPr>
          <w:rFonts w:hint="eastAsia"/>
          <w:sz w:val="24"/>
          <w:szCs w:val="24"/>
        </w:rPr>
        <w:t>集中度提升靠前。我们认为，</w:t>
      </w:r>
      <w:r w:rsidR="0051504E">
        <w:rPr>
          <w:rFonts w:hint="eastAsia"/>
          <w:sz w:val="24"/>
          <w:szCs w:val="24"/>
        </w:rPr>
        <w:t>在经济新形势下，结构性增长成为常态</w:t>
      </w:r>
      <w:r w:rsidR="0051504E" w:rsidRPr="00973B86">
        <w:rPr>
          <w:rFonts w:hint="eastAsia"/>
          <w:sz w:val="24"/>
          <w:szCs w:val="24"/>
        </w:rPr>
        <w:t>，龙头公司在融资成本、经营效率方面具备</w:t>
      </w:r>
      <w:r w:rsidR="0051504E">
        <w:rPr>
          <w:rFonts w:hint="eastAsia"/>
          <w:sz w:val="24"/>
          <w:szCs w:val="24"/>
        </w:rPr>
        <w:t>规模</w:t>
      </w:r>
      <w:r w:rsidR="0051504E" w:rsidRPr="00973B86">
        <w:rPr>
          <w:rFonts w:hint="eastAsia"/>
          <w:sz w:val="24"/>
          <w:szCs w:val="24"/>
        </w:rPr>
        <w:t>优势，抵御经济</w:t>
      </w:r>
      <w:r w:rsidR="0051504E">
        <w:rPr>
          <w:rFonts w:hint="eastAsia"/>
          <w:sz w:val="24"/>
          <w:szCs w:val="24"/>
        </w:rPr>
        <w:t>不确定性的</w:t>
      </w:r>
      <w:r w:rsidR="0051504E" w:rsidRPr="00973B86">
        <w:rPr>
          <w:rFonts w:hint="eastAsia"/>
          <w:sz w:val="24"/>
          <w:szCs w:val="24"/>
        </w:rPr>
        <w:t>能力更强，营收和利润增速相对更</w:t>
      </w:r>
      <w:r w:rsidR="0051504E">
        <w:rPr>
          <w:rFonts w:hint="eastAsia"/>
          <w:sz w:val="24"/>
          <w:szCs w:val="24"/>
        </w:rPr>
        <w:t>稳健</w:t>
      </w:r>
      <w:r w:rsidR="0051504E" w:rsidRPr="00973B86">
        <w:rPr>
          <w:rFonts w:hint="eastAsia"/>
          <w:sz w:val="24"/>
          <w:szCs w:val="24"/>
        </w:rPr>
        <w:t>。</w:t>
      </w:r>
    </w:p>
    <w:p w14:paraId="3C2CB9AF" w14:textId="6B34F389" w:rsidR="0051504E" w:rsidRPr="00E406C4" w:rsidRDefault="0051504E" w:rsidP="0051504E">
      <w:pPr>
        <w:spacing w:line="360" w:lineRule="auto"/>
        <w:rPr>
          <w:b/>
          <w:bCs/>
          <w:sz w:val="24"/>
          <w:szCs w:val="24"/>
        </w:rPr>
      </w:pPr>
      <w:r w:rsidRPr="00190618">
        <w:rPr>
          <w:rFonts w:hint="eastAsia"/>
          <w:b/>
          <w:bCs/>
          <w:sz w:val="24"/>
          <w:szCs w:val="24"/>
        </w:rPr>
        <w:t>图</w:t>
      </w:r>
      <w:r w:rsidR="00264FEA">
        <w:rPr>
          <w:rFonts w:hint="eastAsia"/>
          <w:b/>
          <w:bCs/>
          <w:sz w:val="24"/>
          <w:szCs w:val="24"/>
        </w:rPr>
        <w:t>1</w:t>
      </w:r>
      <w:r w:rsidRPr="00190618">
        <w:rPr>
          <w:rFonts w:hint="eastAsia"/>
          <w:b/>
          <w:bCs/>
          <w:sz w:val="24"/>
          <w:szCs w:val="24"/>
        </w:rPr>
        <w:t>：</w:t>
      </w:r>
      <w:r>
        <w:rPr>
          <w:rFonts w:hint="eastAsia"/>
          <w:b/>
          <w:bCs/>
          <w:sz w:val="24"/>
          <w:szCs w:val="24"/>
        </w:rPr>
        <w:t>2</w:t>
      </w:r>
      <w:r>
        <w:rPr>
          <w:b/>
          <w:bCs/>
          <w:sz w:val="24"/>
          <w:szCs w:val="24"/>
        </w:rPr>
        <w:t>8</w:t>
      </w:r>
      <w:r>
        <w:rPr>
          <w:rFonts w:hint="eastAsia"/>
          <w:b/>
          <w:bCs/>
          <w:sz w:val="24"/>
          <w:szCs w:val="24"/>
        </w:rPr>
        <w:t>个中信</w:t>
      </w:r>
      <w:proofErr w:type="gramStart"/>
      <w:r>
        <w:rPr>
          <w:rFonts w:hint="eastAsia"/>
          <w:b/>
          <w:bCs/>
          <w:sz w:val="24"/>
          <w:szCs w:val="24"/>
        </w:rPr>
        <w:t>一级行业</w:t>
      </w:r>
      <w:proofErr w:type="gramEnd"/>
      <w:r>
        <w:rPr>
          <w:rFonts w:hint="eastAsia"/>
          <w:b/>
          <w:bCs/>
          <w:sz w:val="24"/>
          <w:szCs w:val="24"/>
        </w:rPr>
        <w:t>的集中度变化</w:t>
      </w:r>
    </w:p>
    <w:p w14:paraId="1ADC4B0A" w14:textId="77777777" w:rsidR="0051504E" w:rsidRDefault="0051504E" w:rsidP="0051504E">
      <w:pPr>
        <w:spacing w:line="360" w:lineRule="auto"/>
        <w:rPr>
          <w:sz w:val="24"/>
          <w:szCs w:val="24"/>
        </w:rPr>
      </w:pPr>
      <w:r w:rsidRPr="00973B86">
        <w:rPr>
          <w:noProof/>
          <w:sz w:val="24"/>
          <w:szCs w:val="24"/>
        </w:rPr>
        <w:drawing>
          <wp:inline distT="0" distB="0" distL="0" distR="0" wp14:anchorId="1EB60162" wp14:editId="475FCEFD">
            <wp:extent cx="5274310" cy="25209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520950"/>
                    </a:xfrm>
                    <a:prstGeom prst="rect">
                      <a:avLst/>
                    </a:prstGeom>
                  </pic:spPr>
                </pic:pic>
              </a:graphicData>
            </a:graphic>
          </wp:inline>
        </w:drawing>
      </w:r>
    </w:p>
    <w:p w14:paraId="087FFCDE" w14:textId="3548BFE7" w:rsidR="0051504E" w:rsidRPr="00B30BE0" w:rsidRDefault="0051504E" w:rsidP="00B30BE0">
      <w:pPr>
        <w:spacing w:line="360" w:lineRule="auto"/>
        <w:rPr>
          <w:szCs w:val="21"/>
        </w:rPr>
      </w:pPr>
      <w:r w:rsidRPr="00FF73EB">
        <w:rPr>
          <w:rFonts w:hint="eastAsia"/>
          <w:szCs w:val="21"/>
        </w:rPr>
        <w:t>资料来源：</w:t>
      </w:r>
      <w:r>
        <w:rPr>
          <w:rFonts w:hint="eastAsia"/>
          <w:szCs w:val="21"/>
        </w:rPr>
        <w:t>中信证券，</w:t>
      </w:r>
      <w:proofErr w:type="gramStart"/>
      <w:r>
        <w:rPr>
          <w:rFonts w:hint="eastAsia"/>
          <w:szCs w:val="21"/>
        </w:rPr>
        <w:t>国融基金</w:t>
      </w:r>
      <w:proofErr w:type="gramEnd"/>
      <w:r>
        <w:rPr>
          <w:rFonts w:hint="eastAsia"/>
          <w:szCs w:val="21"/>
        </w:rPr>
        <w:t>整理</w:t>
      </w:r>
    </w:p>
    <w:p w14:paraId="31148001" w14:textId="77777777" w:rsidR="0051504E" w:rsidRPr="00B77498" w:rsidRDefault="0051504E" w:rsidP="0051504E">
      <w:pPr>
        <w:spacing w:line="360" w:lineRule="auto"/>
        <w:rPr>
          <w:sz w:val="24"/>
          <w:szCs w:val="24"/>
        </w:rPr>
      </w:pPr>
    </w:p>
    <w:p w14:paraId="7A7F7868" w14:textId="0C6D3A49" w:rsidR="0051504E" w:rsidRPr="0094717D" w:rsidRDefault="0051504E" w:rsidP="0051504E">
      <w:pPr>
        <w:spacing w:line="360" w:lineRule="auto"/>
        <w:rPr>
          <w:b/>
          <w:bCs/>
          <w:sz w:val="24"/>
          <w:szCs w:val="24"/>
        </w:rPr>
      </w:pPr>
      <w:r w:rsidRPr="0094717D">
        <w:rPr>
          <w:rFonts w:hint="eastAsia"/>
          <w:b/>
          <w:bCs/>
          <w:sz w:val="24"/>
          <w:szCs w:val="24"/>
        </w:rPr>
        <w:t>3、长线资金持续入场，业绩主导行情将延续</w:t>
      </w:r>
    </w:p>
    <w:p w14:paraId="073B2A04" w14:textId="77777777" w:rsidR="0051504E" w:rsidRPr="00973B86" w:rsidRDefault="0051504E" w:rsidP="0051504E">
      <w:pPr>
        <w:spacing w:line="360" w:lineRule="auto"/>
        <w:ind w:firstLineChars="200" w:firstLine="480"/>
        <w:rPr>
          <w:sz w:val="24"/>
          <w:szCs w:val="24"/>
        </w:rPr>
      </w:pPr>
      <w:r w:rsidRPr="00973B86">
        <w:rPr>
          <w:rFonts w:hint="eastAsia"/>
          <w:sz w:val="24"/>
          <w:szCs w:val="24"/>
        </w:rPr>
        <w:t>随着</w:t>
      </w:r>
      <w:r>
        <w:rPr>
          <w:rFonts w:hint="eastAsia"/>
          <w:sz w:val="24"/>
          <w:szCs w:val="24"/>
        </w:rPr>
        <w:t>港股通推出、A股加入MSCI指数，</w:t>
      </w:r>
      <w:r w:rsidRPr="00973B86">
        <w:rPr>
          <w:rFonts w:hint="eastAsia"/>
          <w:sz w:val="24"/>
          <w:szCs w:val="24"/>
        </w:rPr>
        <w:t>国内资本市场</w:t>
      </w:r>
      <w:r>
        <w:rPr>
          <w:rFonts w:hint="eastAsia"/>
          <w:sz w:val="24"/>
          <w:szCs w:val="24"/>
        </w:rPr>
        <w:t>不断</w:t>
      </w:r>
      <w:r w:rsidRPr="00973B86">
        <w:rPr>
          <w:rFonts w:hint="eastAsia"/>
          <w:sz w:val="24"/>
          <w:szCs w:val="24"/>
        </w:rPr>
        <w:t>开</w:t>
      </w:r>
      <w:r>
        <w:rPr>
          <w:rFonts w:hint="eastAsia"/>
          <w:sz w:val="24"/>
          <w:szCs w:val="24"/>
        </w:rPr>
        <w:t>放</w:t>
      </w:r>
      <w:r w:rsidRPr="00973B86">
        <w:rPr>
          <w:rFonts w:hint="eastAsia"/>
          <w:sz w:val="24"/>
          <w:szCs w:val="24"/>
        </w:rPr>
        <w:t>，A股市场国际化</w:t>
      </w:r>
      <w:r>
        <w:rPr>
          <w:rFonts w:hint="eastAsia"/>
          <w:sz w:val="24"/>
          <w:szCs w:val="24"/>
        </w:rPr>
        <w:t>持续加深，</w:t>
      </w:r>
      <w:r w:rsidRPr="00973B86">
        <w:rPr>
          <w:rFonts w:hint="eastAsia"/>
          <w:sz w:val="24"/>
          <w:szCs w:val="24"/>
        </w:rPr>
        <w:t>以外资、社保养老、险资、银行理财等为代表的</w:t>
      </w:r>
      <w:r>
        <w:rPr>
          <w:rFonts w:hint="eastAsia"/>
          <w:sz w:val="24"/>
          <w:szCs w:val="24"/>
        </w:rPr>
        <w:t>机构</w:t>
      </w:r>
      <w:r w:rsidRPr="00973B86">
        <w:rPr>
          <w:rFonts w:hint="eastAsia"/>
          <w:sz w:val="24"/>
          <w:szCs w:val="24"/>
        </w:rPr>
        <w:t>资金</w:t>
      </w:r>
      <w:r>
        <w:rPr>
          <w:rFonts w:hint="eastAsia"/>
          <w:sz w:val="24"/>
          <w:szCs w:val="24"/>
        </w:rPr>
        <w:t>持有A股的比例不断上升，</w:t>
      </w:r>
      <w:r w:rsidRPr="00973B86">
        <w:rPr>
          <w:rFonts w:hint="eastAsia"/>
          <w:sz w:val="24"/>
          <w:szCs w:val="24"/>
        </w:rPr>
        <w:t>国内资本市场</w:t>
      </w:r>
      <w:r>
        <w:rPr>
          <w:rFonts w:hint="eastAsia"/>
          <w:sz w:val="24"/>
          <w:szCs w:val="24"/>
        </w:rPr>
        <w:t>正在从以散户投资者为主转向以</w:t>
      </w:r>
      <w:r w:rsidRPr="00973B86">
        <w:rPr>
          <w:rFonts w:hint="eastAsia"/>
          <w:sz w:val="24"/>
          <w:szCs w:val="24"/>
        </w:rPr>
        <w:t>机构投资者</w:t>
      </w:r>
      <w:r>
        <w:rPr>
          <w:rFonts w:hint="eastAsia"/>
          <w:sz w:val="24"/>
          <w:szCs w:val="24"/>
        </w:rPr>
        <w:t>主导</w:t>
      </w:r>
      <w:r w:rsidRPr="00973B86">
        <w:rPr>
          <w:rFonts w:hint="eastAsia"/>
          <w:sz w:val="24"/>
          <w:szCs w:val="24"/>
        </w:rPr>
        <w:t>。从</w:t>
      </w:r>
      <w:r>
        <w:rPr>
          <w:rFonts w:hint="eastAsia"/>
          <w:sz w:val="24"/>
          <w:szCs w:val="24"/>
        </w:rPr>
        <w:t>机构</w:t>
      </w:r>
      <w:r w:rsidRPr="00973B86">
        <w:rPr>
          <w:rFonts w:hint="eastAsia"/>
          <w:sz w:val="24"/>
          <w:szCs w:val="24"/>
        </w:rPr>
        <w:t>资金性质</w:t>
      </w:r>
      <w:r>
        <w:rPr>
          <w:rFonts w:hint="eastAsia"/>
          <w:sz w:val="24"/>
          <w:szCs w:val="24"/>
        </w:rPr>
        <w:t>来</w:t>
      </w:r>
      <w:r w:rsidRPr="00973B86">
        <w:rPr>
          <w:rFonts w:hint="eastAsia"/>
          <w:sz w:val="24"/>
          <w:szCs w:val="24"/>
        </w:rPr>
        <w:t>看</w:t>
      </w:r>
      <w:r w:rsidRPr="00973B86">
        <w:rPr>
          <w:sz w:val="24"/>
          <w:szCs w:val="24"/>
        </w:rPr>
        <w:t>，</w:t>
      </w:r>
      <w:r>
        <w:rPr>
          <w:rFonts w:hint="eastAsia"/>
          <w:sz w:val="24"/>
          <w:szCs w:val="24"/>
        </w:rPr>
        <w:t>机构资金普遍为长线资金，导致机构投资者</w:t>
      </w:r>
      <w:r w:rsidRPr="00973B86">
        <w:rPr>
          <w:sz w:val="24"/>
          <w:szCs w:val="24"/>
        </w:rPr>
        <w:t>更加注重中长期配置，投资风格</w:t>
      </w:r>
      <w:r>
        <w:rPr>
          <w:rFonts w:hint="eastAsia"/>
          <w:sz w:val="24"/>
          <w:szCs w:val="24"/>
        </w:rPr>
        <w:t>偏向价值投资，蓝筹龙头公司作为</w:t>
      </w:r>
      <w:r w:rsidRPr="00973B86">
        <w:rPr>
          <w:sz w:val="24"/>
          <w:szCs w:val="24"/>
        </w:rPr>
        <w:t>核心资产必然是其最重要的配置方向。</w:t>
      </w:r>
    </w:p>
    <w:p w14:paraId="7AE66A75" w14:textId="20D1A90A" w:rsidR="0051504E" w:rsidRPr="00383DFB" w:rsidRDefault="0051504E" w:rsidP="0051504E">
      <w:pPr>
        <w:spacing w:line="360" w:lineRule="auto"/>
        <w:rPr>
          <w:sz w:val="24"/>
          <w:szCs w:val="24"/>
        </w:rPr>
      </w:pPr>
      <w:r>
        <w:rPr>
          <w:rFonts w:hint="eastAsia"/>
          <w:sz w:val="24"/>
          <w:szCs w:val="24"/>
        </w:rPr>
        <w:lastRenderedPageBreak/>
        <w:t xml:space="preserve"> </w:t>
      </w:r>
      <w:r>
        <w:rPr>
          <w:sz w:val="24"/>
          <w:szCs w:val="24"/>
        </w:rPr>
        <w:t xml:space="preserve">   </w:t>
      </w:r>
    </w:p>
    <w:p w14:paraId="748F1678" w14:textId="63753AFC" w:rsidR="0051504E" w:rsidRPr="0094717D" w:rsidRDefault="0051504E" w:rsidP="0051504E">
      <w:pPr>
        <w:spacing w:line="360" w:lineRule="auto"/>
        <w:rPr>
          <w:b/>
          <w:bCs/>
          <w:sz w:val="24"/>
          <w:szCs w:val="24"/>
        </w:rPr>
      </w:pPr>
      <w:r w:rsidRPr="0094717D">
        <w:rPr>
          <w:rFonts w:hint="eastAsia"/>
          <w:b/>
          <w:bCs/>
          <w:sz w:val="24"/>
          <w:szCs w:val="24"/>
        </w:rPr>
        <w:t>4、A股估值总体合理，</w:t>
      </w:r>
      <w:r w:rsidR="00773CF2">
        <w:rPr>
          <w:rFonts w:hint="eastAsia"/>
          <w:b/>
          <w:bCs/>
          <w:sz w:val="24"/>
          <w:szCs w:val="24"/>
        </w:rPr>
        <w:t>2020</w:t>
      </w:r>
      <w:r w:rsidRPr="0094717D">
        <w:rPr>
          <w:rFonts w:hint="eastAsia"/>
          <w:b/>
          <w:bCs/>
          <w:sz w:val="24"/>
          <w:szCs w:val="24"/>
        </w:rPr>
        <w:t>年继续看好</w:t>
      </w:r>
      <w:r w:rsidR="00773CF2">
        <w:rPr>
          <w:rFonts w:hint="eastAsia"/>
          <w:b/>
          <w:bCs/>
          <w:sz w:val="24"/>
          <w:szCs w:val="24"/>
        </w:rPr>
        <w:t>业绩确定性高的</w:t>
      </w:r>
      <w:r w:rsidR="00E75BF5">
        <w:rPr>
          <w:rFonts w:hint="eastAsia"/>
          <w:b/>
          <w:bCs/>
          <w:sz w:val="24"/>
          <w:szCs w:val="24"/>
        </w:rPr>
        <w:t>龙头公司</w:t>
      </w:r>
      <w:r w:rsidR="00773CF2">
        <w:rPr>
          <w:rFonts w:hint="eastAsia"/>
          <w:b/>
          <w:bCs/>
          <w:sz w:val="24"/>
          <w:szCs w:val="24"/>
        </w:rPr>
        <w:t>，警惕估值偏高的部分科技股</w:t>
      </w:r>
    </w:p>
    <w:p w14:paraId="305DDF1F" w14:textId="619FB38E" w:rsidR="0051504E" w:rsidRDefault="0051504E" w:rsidP="0051504E">
      <w:pPr>
        <w:spacing w:line="360" w:lineRule="auto"/>
        <w:ind w:firstLineChars="200" w:firstLine="480"/>
        <w:rPr>
          <w:sz w:val="24"/>
          <w:szCs w:val="24"/>
        </w:rPr>
      </w:pPr>
      <w:r>
        <w:rPr>
          <w:rFonts w:hint="eastAsia"/>
          <w:sz w:val="24"/>
          <w:szCs w:val="24"/>
        </w:rPr>
        <w:t>截止2</w:t>
      </w:r>
      <w:r>
        <w:rPr>
          <w:sz w:val="24"/>
          <w:szCs w:val="24"/>
        </w:rPr>
        <w:t>019</w:t>
      </w:r>
      <w:r>
        <w:rPr>
          <w:rFonts w:hint="eastAsia"/>
          <w:sz w:val="24"/>
          <w:szCs w:val="24"/>
        </w:rPr>
        <w:t>年1</w:t>
      </w:r>
      <w:r w:rsidR="00F902C7">
        <w:rPr>
          <w:rFonts w:hint="eastAsia"/>
          <w:sz w:val="24"/>
          <w:szCs w:val="24"/>
        </w:rPr>
        <w:t>2</w:t>
      </w:r>
      <w:r>
        <w:rPr>
          <w:rFonts w:hint="eastAsia"/>
          <w:sz w:val="24"/>
          <w:szCs w:val="24"/>
        </w:rPr>
        <w:t>月</w:t>
      </w:r>
      <w:r w:rsidR="00AC4169">
        <w:rPr>
          <w:rFonts w:hint="eastAsia"/>
          <w:sz w:val="24"/>
          <w:szCs w:val="24"/>
        </w:rPr>
        <w:t>末</w:t>
      </w:r>
      <w:r>
        <w:rPr>
          <w:rFonts w:hint="eastAsia"/>
          <w:sz w:val="24"/>
          <w:szCs w:val="24"/>
        </w:rPr>
        <w:t>，A股上证综指的平均市盈率仅为1</w:t>
      </w:r>
      <w:r w:rsidR="008674F6">
        <w:rPr>
          <w:rFonts w:hint="eastAsia"/>
          <w:sz w:val="24"/>
          <w:szCs w:val="24"/>
        </w:rPr>
        <w:t>3</w:t>
      </w:r>
      <w:r>
        <w:rPr>
          <w:sz w:val="24"/>
          <w:szCs w:val="24"/>
        </w:rPr>
        <w:t>.</w:t>
      </w:r>
      <w:r w:rsidR="008674F6">
        <w:rPr>
          <w:rFonts w:hint="eastAsia"/>
          <w:sz w:val="24"/>
          <w:szCs w:val="24"/>
        </w:rPr>
        <w:t>1</w:t>
      </w:r>
      <w:r>
        <w:rPr>
          <w:rFonts w:hint="eastAsia"/>
          <w:sz w:val="24"/>
          <w:szCs w:val="24"/>
        </w:rPr>
        <w:t>倍、沪深3</w:t>
      </w:r>
      <w:r>
        <w:rPr>
          <w:sz w:val="24"/>
          <w:szCs w:val="24"/>
        </w:rPr>
        <w:t>00</w:t>
      </w:r>
      <w:r>
        <w:rPr>
          <w:rFonts w:hint="eastAsia"/>
          <w:sz w:val="24"/>
          <w:szCs w:val="24"/>
        </w:rPr>
        <w:t>指数为1</w:t>
      </w:r>
      <w:r w:rsidR="008674F6">
        <w:rPr>
          <w:rFonts w:hint="eastAsia"/>
          <w:sz w:val="24"/>
          <w:szCs w:val="24"/>
        </w:rPr>
        <w:t>2</w:t>
      </w:r>
      <w:r>
        <w:rPr>
          <w:sz w:val="24"/>
          <w:szCs w:val="24"/>
        </w:rPr>
        <w:t>.</w:t>
      </w:r>
      <w:r w:rsidR="008674F6">
        <w:rPr>
          <w:rFonts w:hint="eastAsia"/>
          <w:sz w:val="24"/>
          <w:szCs w:val="24"/>
        </w:rPr>
        <w:t>5</w:t>
      </w:r>
      <w:r>
        <w:rPr>
          <w:rFonts w:hint="eastAsia"/>
          <w:sz w:val="24"/>
          <w:szCs w:val="24"/>
        </w:rPr>
        <w:t>倍，与国际上主要指数（见图</w:t>
      </w:r>
      <w:r w:rsidR="007A3910">
        <w:rPr>
          <w:rFonts w:hint="eastAsia"/>
          <w:sz w:val="24"/>
          <w:szCs w:val="24"/>
        </w:rPr>
        <w:t>2</w:t>
      </w:r>
      <w:r>
        <w:rPr>
          <w:rFonts w:hint="eastAsia"/>
          <w:sz w:val="24"/>
          <w:szCs w:val="24"/>
        </w:rPr>
        <w:t>）相比明显偏低。比较中美龙头公司的估值，A股市值最大的5</w:t>
      </w:r>
      <w:r>
        <w:rPr>
          <w:sz w:val="24"/>
          <w:szCs w:val="24"/>
        </w:rPr>
        <w:t>0</w:t>
      </w:r>
      <w:r>
        <w:rPr>
          <w:rFonts w:hint="eastAsia"/>
          <w:sz w:val="24"/>
          <w:szCs w:val="24"/>
        </w:rPr>
        <w:t>家公司（含金融公司）加权平均PE为1</w:t>
      </w:r>
      <w:r w:rsidR="00F37292">
        <w:rPr>
          <w:rFonts w:hint="eastAsia"/>
          <w:sz w:val="24"/>
          <w:szCs w:val="24"/>
        </w:rPr>
        <w:t>8.2</w:t>
      </w:r>
      <w:r>
        <w:rPr>
          <w:rFonts w:hint="eastAsia"/>
          <w:sz w:val="24"/>
          <w:szCs w:val="24"/>
        </w:rPr>
        <w:t>倍，对应美股为</w:t>
      </w:r>
      <w:r w:rsidR="00F37292">
        <w:rPr>
          <w:rFonts w:hint="eastAsia"/>
          <w:sz w:val="24"/>
          <w:szCs w:val="24"/>
        </w:rPr>
        <w:t>31.0</w:t>
      </w:r>
      <w:r>
        <w:rPr>
          <w:rFonts w:hint="eastAsia"/>
          <w:sz w:val="24"/>
          <w:szCs w:val="24"/>
        </w:rPr>
        <w:t>倍；A股市值最大的5</w:t>
      </w:r>
      <w:r>
        <w:rPr>
          <w:sz w:val="24"/>
          <w:szCs w:val="24"/>
        </w:rPr>
        <w:t>0</w:t>
      </w:r>
      <w:r>
        <w:rPr>
          <w:rFonts w:hint="eastAsia"/>
          <w:sz w:val="24"/>
          <w:szCs w:val="24"/>
        </w:rPr>
        <w:t>家公司（不含金融公司）加权平均PE为</w:t>
      </w:r>
      <w:r>
        <w:rPr>
          <w:sz w:val="24"/>
          <w:szCs w:val="24"/>
        </w:rPr>
        <w:t>3</w:t>
      </w:r>
      <w:r w:rsidR="00F37292">
        <w:rPr>
          <w:rFonts w:hint="eastAsia"/>
          <w:sz w:val="24"/>
          <w:szCs w:val="24"/>
        </w:rPr>
        <w:t>1.1</w:t>
      </w:r>
      <w:r>
        <w:rPr>
          <w:rFonts w:hint="eastAsia"/>
          <w:sz w:val="24"/>
          <w:szCs w:val="24"/>
        </w:rPr>
        <w:t>倍，对应美股为</w:t>
      </w:r>
      <w:r>
        <w:rPr>
          <w:sz w:val="24"/>
          <w:szCs w:val="24"/>
        </w:rPr>
        <w:t>3</w:t>
      </w:r>
      <w:r w:rsidR="00D75F4E">
        <w:rPr>
          <w:rFonts w:hint="eastAsia"/>
          <w:sz w:val="24"/>
          <w:szCs w:val="24"/>
        </w:rPr>
        <w:t>2.5</w:t>
      </w:r>
      <w:r>
        <w:rPr>
          <w:rFonts w:hint="eastAsia"/>
          <w:sz w:val="24"/>
          <w:szCs w:val="24"/>
        </w:rPr>
        <w:t>倍。与美国股市比较，A股无论是总体估值还是龙头公司估值都低于美股，A股在估值上有一定的吸引力。</w:t>
      </w:r>
    </w:p>
    <w:p w14:paraId="1C4586E6" w14:textId="61AC7DCB" w:rsidR="0051504E" w:rsidRPr="00545AF3" w:rsidRDefault="0051504E" w:rsidP="0051504E">
      <w:pPr>
        <w:spacing w:line="360" w:lineRule="auto"/>
        <w:rPr>
          <w:b/>
          <w:bCs/>
          <w:sz w:val="24"/>
          <w:szCs w:val="24"/>
        </w:rPr>
      </w:pPr>
      <w:r w:rsidRPr="00190618">
        <w:rPr>
          <w:rFonts w:hint="eastAsia"/>
          <w:b/>
          <w:bCs/>
          <w:sz w:val="24"/>
          <w:szCs w:val="24"/>
        </w:rPr>
        <w:t>图</w:t>
      </w:r>
      <w:r w:rsidR="00FA4EF1">
        <w:rPr>
          <w:rFonts w:hint="eastAsia"/>
          <w:b/>
          <w:bCs/>
          <w:sz w:val="24"/>
          <w:szCs w:val="24"/>
        </w:rPr>
        <w:t>2</w:t>
      </w:r>
      <w:r w:rsidRPr="00190618">
        <w:rPr>
          <w:rFonts w:hint="eastAsia"/>
          <w:b/>
          <w:bCs/>
          <w:sz w:val="24"/>
          <w:szCs w:val="24"/>
        </w:rPr>
        <w:t>：</w:t>
      </w:r>
      <w:r>
        <w:rPr>
          <w:rFonts w:hint="eastAsia"/>
          <w:b/>
          <w:bCs/>
          <w:sz w:val="24"/>
          <w:szCs w:val="24"/>
        </w:rPr>
        <w:t>全球主要股市的市盈率</w:t>
      </w:r>
    </w:p>
    <w:p w14:paraId="3254E8D7" w14:textId="27D275BB" w:rsidR="0051504E" w:rsidRDefault="007D08F2" w:rsidP="0051504E">
      <w:pPr>
        <w:spacing w:line="360" w:lineRule="auto"/>
        <w:rPr>
          <w:sz w:val="24"/>
          <w:szCs w:val="24"/>
        </w:rPr>
      </w:pPr>
      <w:r>
        <w:rPr>
          <w:noProof/>
        </w:rPr>
        <w:drawing>
          <wp:inline distT="0" distB="0" distL="0" distR="0" wp14:anchorId="4FFB4B7E" wp14:editId="6CA814C4">
            <wp:extent cx="5270500" cy="2743200"/>
            <wp:effectExtent l="0" t="0" r="6350" b="0"/>
            <wp:docPr id="7" name="图表 7">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755E49" w14:textId="77777777" w:rsidR="0051504E" w:rsidRPr="007E1D08" w:rsidRDefault="0051504E" w:rsidP="0051504E">
      <w:pPr>
        <w:spacing w:line="360" w:lineRule="auto"/>
        <w:rPr>
          <w:szCs w:val="21"/>
        </w:rPr>
      </w:pPr>
      <w:r w:rsidRPr="007E1D08">
        <w:rPr>
          <w:rFonts w:hint="eastAsia"/>
          <w:szCs w:val="21"/>
        </w:rPr>
        <w:t>资料来源：</w:t>
      </w:r>
      <w:r>
        <w:rPr>
          <w:rFonts w:hint="eastAsia"/>
          <w:szCs w:val="21"/>
        </w:rPr>
        <w:t>W</w:t>
      </w:r>
      <w:r>
        <w:rPr>
          <w:szCs w:val="21"/>
        </w:rPr>
        <w:t>ind</w:t>
      </w:r>
      <w:r>
        <w:rPr>
          <w:rFonts w:hint="eastAsia"/>
          <w:szCs w:val="21"/>
        </w:rPr>
        <w:t>，</w:t>
      </w:r>
      <w:proofErr w:type="gramStart"/>
      <w:r>
        <w:rPr>
          <w:rFonts w:hint="eastAsia"/>
          <w:szCs w:val="21"/>
        </w:rPr>
        <w:t>国融基金</w:t>
      </w:r>
      <w:proofErr w:type="gramEnd"/>
    </w:p>
    <w:p w14:paraId="77AF2315" w14:textId="735120A8" w:rsidR="0051504E" w:rsidRDefault="0051504E" w:rsidP="0051504E">
      <w:pPr>
        <w:spacing w:line="360" w:lineRule="auto"/>
        <w:ind w:firstLineChars="200" w:firstLine="480"/>
        <w:rPr>
          <w:sz w:val="24"/>
          <w:szCs w:val="24"/>
        </w:rPr>
      </w:pPr>
      <w:r>
        <w:rPr>
          <w:rFonts w:hint="eastAsia"/>
          <w:sz w:val="24"/>
          <w:szCs w:val="24"/>
        </w:rPr>
        <w:t>展望</w:t>
      </w:r>
      <w:r w:rsidR="00357291">
        <w:rPr>
          <w:rFonts w:hint="eastAsia"/>
          <w:sz w:val="24"/>
          <w:szCs w:val="24"/>
        </w:rPr>
        <w:t>2020</w:t>
      </w:r>
      <w:r>
        <w:rPr>
          <w:rFonts w:hint="eastAsia"/>
          <w:sz w:val="24"/>
          <w:szCs w:val="24"/>
        </w:rPr>
        <w:t>年，我们继续看</w:t>
      </w:r>
      <w:r w:rsidR="00B55578">
        <w:rPr>
          <w:rFonts w:hint="eastAsia"/>
          <w:sz w:val="24"/>
          <w:szCs w:val="24"/>
        </w:rPr>
        <w:t>好业绩确定性高的</w:t>
      </w:r>
      <w:r>
        <w:rPr>
          <w:rFonts w:hint="eastAsia"/>
          <w:sz w:val="24"/>
          <w:szCs w:val="24"/>
        </w:rPr>
        <w:t>板块</w:t>
      </w:r>
      <w:r w:rsidR="00A32598">
        <w:rPr>
          <w:rFonts w:hint="eastAsia"/>
          <w:sz w:val="24"/>
          <w:szCs w:val="24"/>
        </w:rPr>
        <w:t>，比如消费</w:t>
      </w:r>
      <w:r>
        <w:rPr>
          <w:rFonts w:hint="eastAsia"/>
          <w:sz w:val="24"/>
          <w:szCs w:val="24"/>
        </w:rPr>
        <w:t>。从海外经验来看，</w:t>
      </w:r>
      <w:r w:rsidRPr="00654951">
        <w:rPr>
          <w:rFonts w:hint="eastAsia"/>
          <w:sz w:val="24"/>
          <w:szCs w:val="24"/>
        </w:rPr>
        <w:t>消费行业具备很强抗周期性，头部公司马太效应明显，经营</w:t>
      </w:r>
      <w:r>
        <w:rPr>
          <w:rFonts w:hint="eastAsia"/>
          <w:sz w:val="24"/>
          <w:szCs w:val="24"/>
        </w:rPr>
        <w:t>净</w:t>
      </w:r>
      <w:r w:rsidRPr="00654951">
        <w:rPr>
          <w:rFonts w:hint="eastAsia"/>
          <w:sz w:val="24"/>
          <w:szCs w:val="24"/>
        </w:rPr>
        <w:t>现金流稳定，盈利模式享受更多估值溢价</w:t>
      </w:r>
      <w:r>
        <w:rPr>
          <w:rFonts w:hint="eastAsia"/>
          <w:sz w:val="24"/>
          <w:szCs w:val="24"/>
        </w:rPr>
        <w:t>。随着国内经济增长、消费升级，消费领域仍有较大发展空间，而且消费崛起也符合中国经济从投资驱动转向消费导向的转型升级方</w:t>
      </w:r>
      <w:r>
        <w:rPr>
          <w:rFonts w:hint="eastAsia"/>
          <w:sz w:val="24"/>
          <w:szCs w:val="24"/>
        </w:rPr>
        <w:lastRenderedPageBreak/>
        <w:t>向，同时伴随着中国人口老龄化趋势，对医药健康的需求将持续增长，因此</w:t>
      </w:r>
      <w:proofErr w:type="gramStart"/>
      <w:r>
        <w:rPr>
          <w:rFonts w:hint="eastAsia"/>
          <w:sz w:val="24"/>
          <w:szCs w:val="24"/>
        </w:rPr>
        <w:t>消费股</w:t>
      </w:r>
      <w:proofErr w:type="gramEnd"/>
      <w:r>
        <w:rPr>
          <w:rFonts w:hint="eastAsia"/>
          <w:sz w:val="24"/>
          <w:szCs w:val="24"/>
        </w:rPr>
        <w:t>依然是我们长期看好的领域，聚焦消费龙头。</w:t>
      </w:r>
    </w:p>
    <w:p w14:paraId="33C052B8" w14:textId="69306602" w:rsidR="00FA264C" w:rsidRDefault="00FA264C" w:rsidP="0051504E">
      <w:pPr>
        <w:spacing w:line="360" w:lineRule="auto"/>
        <w:ind w:firstLineChars="200" w:firstLine="480"/>
        <w:rPr>
          <w:sz w:val="24"/>
          <w:szCs w:val="24"/>
        </w:rPr>
      </w:pPr>
      <w:r>
        <w:rPr>
          <w:rFonts w:hint="eastAsia"/>
          <w:sz w:val="24"/>
          <w:szCs w:val="24"/>
        </w:rPr>
        <w:t>同时我们要用新视角来观察周期性行业，部分周期行业龙头内含已发生了转变。在供给</w:t>
      </w:r>
      <w:proofErr w:type="gramStart"/>
      <w:r>
        <w:rPr>
          <w:rFonts w:hint="eastAsia"/>
          <w:sz w:val="24"/>
          <w:szCs w:val="24"/>
        </w:rPr>
        <w:t>端随着</w:t>
      </w:r>
      <w:proofErr w:type="gramEnd"/>
      <w:r>
        <w:rPr>
          <w:rFonts w:hint="eastAsia"/>
          <w:sz w:val="24"/>
          <w:szCs w:val="24"/>
        </w:rPr>
        <w:t>供给侧改革，行业集中度大幅提升，许多周期子行业进入寡头垄断格局，需求</w:t>
      </w:r>
      <w:proofErr w:type="gramStart"/>
      <w:r>
        <w:rPr>
          <w:rFonts w:hint="eastAsia"/>
          <w:sz w:val="24"/>
          <w:szCs w:val="24"/>
        </w:rPr>
        <w:t>端虽然</w:t>
      </w:r>
      <w:proofErr w:type="gramEnd"/>
      <w:r>
        <w:rPr>
          <w:rFonts w:hint="eastAsia"/>
          <w:sz w:val="24"/>
          <w:szCs w:val="24"/>
        </w:rPr>
        <w:t>基建投资增速持续下滑，但仍维持个位数的平稳增长，仍是推动深化城镇化发展和</w:t>
      </w:r>
      <w:proofErr w:type="gramStart"/>
      <w:r>
        <w:rPr>
          <w:rFonts w:hint="eastAsia"/>
          <w:sz w:val="24"/>
          <w:szCs w:val="24"/>
        </w:rPr>
        <w:t>稳增长</w:t>
      </w:r>
      <w:proofErr w:type="gramEnd"/>
      <w:r>
        <w:rPr>
          <w:rFonts w:hint="eastAsia"/>
          <w:sz w:val="24"/>
          <w:szCs w:val="24"/>
        </w:rPr>
        <w:t>的基石，在需求稳定和供给寡头垄断格局下，部分周期行业龙头的周期属性已明显淡化，具有了价值投资的特征，例如水泥、地产、化工、工程机械</w:t>
      </w:r>
      <w:r w:rsidR="00130E2B">
        <w:rPr>
          <w:rFonts w:hint="eastAsia"/>
          <w:sz w:val="24"/>
          <w:szCs w:val="24"/>
        </w:rPr>
        <w:t>等</w:t>
      </w:r>
      <w:r w:rsidR="00130E2B">
        <w:rPr>
          <w:sz w:val="24"/>
          <w:szCs w:val="24"/>
        </w:rPr>
        <w:t>行业的龙头</w:t>
      </w:r>
      <w:r>
        <w:rPr>
          <w:rFonts w:hint="eastAsia"/>
          <w:sz w:val="24"/>
          <w:szCs w:val="24"/>
        </w:rPr>
        <w:t>。其中，</w:t>
      </w:r>
      <w:r w:rsidR="00130E2B">
        <w:rPr>
          <w:rFonts w:hint="eastAsia"/>
          <w:sz w:val="24"/>
          <w:szCs w:val="24"/>
        </w:rPr>
        <w:t>工程机械</w:t>
      </w:r>
      <w:r>
        <w:rPr>
          <w:rFonts w:hint="eastAsia"/>
          <w:sz w:val="24"/>
          <w:szCs w:val="24"/>
        </w:rPr>
        <w:t>和</w:t>
      </w:r>
      <w:r w:rsidR="00130E2B">
        <w:rPr>
          <w:rFonts w:hint="eastAsia"/>
          <w:sz w:val="24"/>
          <w:szCs w:val="24"/>
        </w:rPr>
        <w:t>化工</w:t>
      </w:r>
      <w:r w:rsidR="00130E2B">
        <w:rPr>
          <w:sz w:val="24"/>
          <w:szCs w:val="24"/>
        </w:rPr>
        <w:t>行业的龙头</w:t>
      </w:r>
      <w:r>
        <w:rPr>
          <w:rFonts w:hint="eastAsia"/>
          <w:sz w:val="24"/>
          <w:szCs w:val="24"/>
        </w:rPr>
        <w:t>还具备高端装备制造业和新材料的技术实力，除了国内需求还不断开拓海外市场，甚至具有了一定成长属性，这些周期龙头也是我们价值投资的重点</w:t>
      </w:r>
      <w:r w:rsidR="00B55578">
        <w:rPr>
          <w:rFonts w:hint="eastAsia"/>
          <w:sz w:val="24"/>
          <w:szCs w:val="24"/>
        </w:rPr>
        <w:t>方向</w:t>
      </w:r>
      <w:r>
        <w:rPr>
          <w:rFonts w:hint="eastAsia"/>
          <w:sz w:val="24"/>
          <w:szCs w:val="24"/>
        </w:rPr>
        <w:t>。</w:t>
      </w:r>
    </w:p>
    <w:p w14:paraId="14E1D38B" w14:textId="42257887" w:rsidR="0051504E" w:rsidRDefault="0051504E" w:rsidP="0051504E">
      <w:pPr>
        <w:spacing w:line="360" w:lineRule="auto"/>
        <w:ind w:firstLineChars="200" w:firstLine="480"/>
        <w:rPr>
          <w:sz w:val="24"/>
          <w:szCs w:val="24"/>
        </w:rPr>
      </w:pPr>
      <w:r>
        <w:rPr>
          <w:rFonts w:hint="eastAsia"/>
          <w:sz w:val="24"/>
          <w:szCs w:val="24"/>
        </w:rPr>
        <w:t>在转变经济增长模式叠加中美贸易战的背景下，产业技术升级、自主可控成为</w:t>
      </w:r>
      <w:r w:rsidRPr="00973B86">
        <w:rPr>
          <w:rFonts w:hint="eastAsia"/>
          <w:sz w:val="24"/>
          <w:szCs w:val="24"/>
        </w:rPr>
        <w:t>政策</w:t>
      </w:r>
      <w:r>
        <w:rPr>
          <w:rFonts w:hint="eastAsia"/>
          <w:sz w:val="24"/>
          <w:szCs w:val="24"/>
        </w:rPr>
        <w:t>的</w:t>
      </w:r>
      <w:r w:rsidRPr="00973B86">
        <w:rPr>
          <w:rFonts w:hint="eastAsia"/>
          <w:sz w:val="24"/>
          <w:szCs w:val="24"/>
        </w:rPr>
        <w:t>主要倾斜方向</w:t>
      </w:r>
      <w:r>
        <w:rPr>
          <w:rFonts w:hint="eastAsia"/>
          <w:sz w:val="24"/>
          <w:szCs w:val="24"/>
        </w:rPr>
        <w:t>，也是未来经济的新增长点，</w:t>
      </w:r>
      <w:r w:rsidR="00D10181">
        <w:rPr>
          <w:rFonts w:hint="eastAsia"/>
          <w:sz w:val="24"/>
          <w:szCs w:val="24"/>
        </w:rPr>
        <w:t>科技板块</w:t>
      </w:r>
      <w:r>
        <w:rPr>
          <w:rFonts w:hint="eastAsia"/>
          <w:sz w:val="24"/>
          <w:szCs w:val="24"/>
        </w:rPr>
        <w:t>将成为未来新龙头的孕育地。例如</w:t>
      </w:r>
      <w:r w:rsidR="006E3A46">
        <w:rPr>
          <w:rFonts w:hint="eastAsia"/>
          <w:sz w:val="24"/>
          <w:szCs w:val="24"/>
        </w:rPr>
        <w:t>，</w:t>
      </w:r>
      <w:r w:rsidRPr="00973B86">
        <w:rPr>
          <w:rFonts w:hint="eastAsia"/>
          <w:sz w:val="24"/>
          <w:szCs w:val="24"/>
        </w:rPr>
        <w:t>随着新能源</w:t>
      </w:r>
      <w:r>
        <w:rPr>
          <w:rFonts w:hint="eastAsia"/>
          <w:sz w:val="24"/>
          <w:szCs w:val="24"/>
        </w:rPr>
        <w:t>进入平价上网阶段和新能源</w:t>
      </w:r>
      <w:r w:rsidRPr="00973B86">
        <w:rPr>
          <w:rFonts w:hint="eastAsia"/>
          <w:sz w:val="24"/>
          <w:szCs w:val="24"/>
        </w:rPr>
        <w:t>汽车快速增长，全球电池</w:t>
      </w:r>
      <w:r>
        <w:rPr>
          <w:rFonts w:hint="eastAsia"/>
          <w:sz w:val="24"/>
          <w:szCs w:val="24"/>
        </w:rPr>
        <w:t>、光伏、风电</w:t>
      </w:r>
      <w:r w:rsidRPr="00973B86">
        <w:rPr>
          <w:rFonts w:hint="eastAsia"/>
          <w:sz w:val="24"/>
          <w:szCs w:val="24"/>
        </w:rPr>
        <w:t>龙头进入新扩产周期。</w:t>
      </w:r>
      <w:r>
        <w:rPr>
          <w:rFonts w:hint="eastAsia"/>
          <w:sz w:val="24"/>
          <w:szCs w:val="24"/>
        </w:rPr>
        <w:t>另外</w:t>
      </w:r>
      <w:r w:rsidRPr="00973B86">
        <w:rPr>
          <w:rFonts w:hint="eastAsia"/>
          <w:sz w:val="24"/>
          <w:szCs w:val="24"/>
        </w:rPr>
        <w:t>从卡脖子</w:t>
      </w:r>
      <w:r>
        <w:rPr>
          <w:rFonts w:hint="eastAsia"/>
          <w:sz w:val="24"/>
          <w:szCs w:val="24"/>
        </w:rPr>
        <w:t>的</w:t>
      </w:r>
      <w:r w:rsidRPr="00973B86">
        <w:rPr>
          <w:rFonts w:hint="eastAsia"/>
          <w:sz w:val="24"/>
          <w:szCs w:val="24"/>
        </w:rPr>
        <w:t>半导体</w:t>
      </w:r>
      <w:r>
        <w:rPr>
          <w:rFonts w:hint="eastAsia"/>
          <w:sz w:val="24"/>
          <w:szCs w:val="24"/>
        </w:rPr>
        <w:t>产业来看</w:t>
      </w:r>
      <w:r w:rsidRPr="00973B86">
        <w:rPr>
          <w:rFonts w:hint="eastAsia"/>
          <w:sz w:val="24"/>
          <w:szCs w:val="24"/>
        </w:rPr>
        <w:t>，</w:t>
      </w:r>
      <w:r w:rsidRPr="00973B86">
        <w:rPr>
          <w:sz w:val="24"/>
          <w:szCs w:val="24"/>
        </w:rPr>
        <w:t>目前</w:t>
      </w:r>
      <w:r>
        <w:rPr>
          <w:rFonts w:hint="eastAsia"/>
          <w:sz w:val="24"/>
          <w:szCs w:val="24"/>
        </w:rPr>
        <w:t>IC</w:t>
      </w:r>
      <w:r w:rsidRPr="00973B86">
        <w:rPr>
          <w:sz w:val="24"/>
          <w:szCs w:val="24"/>
        </w:rPr>
        <w:t>设备国内市场自给率仅有5%</w:t>
      </w:r>
      <w:r>
        <w:rPr>
          <w:rFonts w:hint="eastAsia"/>
          <w:sz w:val="24"/>
          <w:szCs w:val="24"/>
        </w:rPr>
        <w:t>，而芯片自给率也仅1</w:t>
      </w:r>
      <w:r>
        <w:rPr>
          <w:sz w:val="24"/>
          <w:szCs w:val="24"/>
        </w:rPr>
        <w:t>0</w:t>
      </w:r>
      <w:r>
        <w:rPr>
          <w:rFonts w:hint="eastAsia"/>
          <w:sz w:val="24"/>
          <w:szCs w:val="24"/>
        </w:rPr>
        <w:t>%</w:t>
      </w:r>
      <w:r w:rsidRPr="00973B86">
        <w:rPr>
          <w:sz w:val="24"/>
          <w:szCs w:val="24"/>
        </w:rPr>
        <w:t>，未来国产</w:t>
      </w:r>
      <w:r w:rsidRPr="00973B86">
        <w:rPr>
          <w:rFonts w:hint="eastAsia"/>
          <w:sz w:val="24"/>
          <w:szCs w:val="24"/>
        </w:rPr>
        <w:t>替代空间巨大，国内厂商正处于技术追赶期，</w:t>
      </w:r>
      <w:r>
        <w:rPr>
          <w:rFonts w:hint="eastAsia"/>
          <w:sz w:val="24"/>
          <w:szCs w:val="24"/>
        </w:rPr>
        <w:t>叠加明年5G基础建设和</w:t>
      </w:r>
      <w:r>
        <w:rPr>
          <w:sz w:val="24"/>
          <w:szCs w:val="24"/>
        </w:rPr>
        <w:t>5</w:t>
      </w:r>
      <w:r>
        <w:rPr>
          <w:rFonts w:hint="eastAsia"/>
          <w:sz w:val="24"/>
          <w:szCs w:val="24"/>
        </w:rPr>
        <w:t>G手机换机潮，国内半导体</w:t>
      </w:r>
      <w:r w:rsidRPr="00973B86">
        <w:rPr>
          <w:rFonts w:hint="eastAsia"/>
          <w:sz w:val="24"/>
          <w:szCs w:val="24"/>
        </w:rPr>
        <w:t>市场</w:t>
      </w:r>
      <w:r>
        <w:rPr>
          <w:rFonts w:hint="eastAsia"/>
          <w:sz w:val="24"/>
          <w:szCs w:val="24"/>
        </w:rPr>
        <w:t>将</w:t>
      </w:r>
      <w:r w:rsidRPr="00973B86">
        <w:rPr>
          <w:rFonts w:hint="eastAsia"/>
          <w:sz w:val="24"/>
          <w:szCs w:val="24"/>
        </w:rPr>
        <w:t>保持高速增长。</w:t>
      </w:r>
      <w:r w:rsidR="00013D70">
        <w:rPr>
          <w:rFonts w:hint="eastAsia"/>
          <w:sz w:val="24"/>
          <w:szCs w:val="24"/>
        </w:rPr>
        <w:t>但投资热门科技股时，要避免业绩不实的</w:t>
      </w:r>
      <w:r w:rsidR="00821B51">
        <w:rPr>
          <w:rFonts w:hint="eastAsia"/>
          <w:sz w:val="24"/>
          <w:szCs w:val="24"/>
        </w:rPr>
        <w:t>科技</w:t>
      </w:r>
      <w:r w:rsidR="00013D70">
        <w:rPr>
          <w:rFonts w:hint="eastAsia"/>
          <w:sz w:val="24"/>
          <w:szCs w:val="24"/>
        </w:rPr>
        <w:t>公司</w:t>
      </w:r>
      <w:r w:rsidR="009555A8">
        <w:rPr>
          <w:rFonts w:hint="eastAsia"/>
          <w:sz w:val="24"/>
          <w:szCs w:val="24"/>
        </w:rPr>
        <w:t>，需要考虑估值问题，</w:t>
      </w:r>
      <w:r w:rsidR="0090082E">
        <w:rPr>
          <w:rFonts w:hint="eastAsia"/>
          <w:sz w:val="24"/>
          <w:szCs w:val="24"/>
        </w:rPr>
        <w:t>对于部分2019年股价大涨，但业绩未能跟上，</w:t>
      </w:r>
      <w:r w:rsidR="009555A8">
        <w:rPr>
          <w:rFonts w:hint="eastAsia"/>
          <w:sz w:val="24"/>
          <w:szCs w:val="24"/>
        </w:rPr>
        <w:t>PEG明显大于1</w:t>
      </w:r>
      <w:r w:rsidR="0090082E">
        <w:rPr>
          <w:rFonts w:hint="eastAsia"/>
          <w:sz w:val="24"/>
          <w:szCs w:val="24"/>
        </w:rPr>
        <w:t>的科技公司需要规避</w:t>
      </w:r>
      <w:r w:rsidR="008415CB">
        <w:rPr>
          <w:rFonts w:hint="eastAsia"/>
          <w:sz w:val="24"/>
          <w:szCs w:val="24"/>
        </w:rPr>
        <w:t>，警惕其在2020年出现向下波动的</w:t>
      </w:r>
      <w:r w:rsidR="00BB0C2D">
        <w:rPr>
          <w:rFonts w:hint="eastAsia"/>
          <w:sz w:val="24"/>
          <w:szCs w:val="24"/>
        </w:rPr>
        <w:t>风险</w:t>
      </w:r>
      <w:r w:rsidR="00013D70">
        <w:rPr>
          <w:rFonts w:hint="eastAsia"/>
          <w:sz w:val="24"/>
          <w:szCs w:val="24"/>
        </w:rPr>
        <w:t>。</w:t>
      </w:r>
    </w:p>
    <w:p w14:paraId="1FA42F44" w14:textId="77777777" w:rsidR="007A259C" w:rsidRPr="00973B86" w:rsidRDefault="007A259C" w:rsidP="0051504E">
      <w:pPr>
        <w:spacing w:line="360" w:lineRule="auto"/>
        <w:ind w:firstLineChars="200" w:firstLine="480"/>
        <w:rPr>
          <w:sz w:val="24"/>
          <w:szCs w:val="24"/>
        </w:rPr>
      </w:pPr>
    </w:p>
    <w:p w14:paraId="7AA0769D" w14:textId="7C1140C1" w:rsidR="0051504E" w:rsidRPr="00C857D9" w:rsidRDefault="007A259C" w:rsidP="0051504E">
      <w:pPr>
        <w:spacing w:line="360" w:lineRule="auto"/>
        <w:rPr>
          <w:b/>
          <w:bCs/>
          <w:sz w:val="24"/>
          <w:szCs w:val="24"/>
        </w:rPr>
      </w:pPr>
      <w:r>
        <w:rPr>
          <w:rFonts w:hint="eastAsia"/>
          <w:b/>
          <w:bCs/>
          <w:sz w:val="24"/>
          <w:szCs w:val="24"/>
        </w:rPr>
        <w:t>5</w:t>
      </w:r>
      <w:r w:rsidR="0051504E" w:rsidRPr="00C857D9">
        <w:rPr>
          <w:rFonts w:hint="eastAsia"/>
          <w:b/>
          <w:bCs/>
          <w:sz w:val="24"/>
          <w:szCs w:val="24"/>
        </w:rPr>
        <w:t>、总结</w:t>
      </w:r>
    </w:p>
    <w:p w14:paraId="78F358DF" w14:textId="1E0B1D72" w:rsidR="0051504E" w:rsidRDefault="0051504E" w:rsidP="0051504E">
      <w:pPr>
        <w:spacing w:line="360" w:lineRule="auto"/>
        <w:rPr>
          <w:sz w:val="24"/>
          <w:szCs w:val="24"/>
        </w:rPr>
      </w:pPr>
      <w:r>
        <w:rPr>
          <w:rFonts w:hint="eastAsia"/>
          <w:sz w:val="24"/>
          <w:szCs w:val="24"/>
        </w:rPr>
        <w:t xml:space="preserve"> </w:t>
      </w:r>
      <w:r>
        <w:rPr>
          <w:sz w:val="24"/>
          <w:szCs w:val="24"/>
        </w:rPr>
        <w:t xml:space="preserve">   </w:t>
      </w:r>
      <w:r>
        <w:rPr>
          <w:rFonts w:hint="eastAsia"/>
          <w:sz w:val="24"/>
          <w:szCs w:val="24"/>
        </w:rPr>
        <w:t>综上所述，我们认为</w:t>
      </w:r>
      <w:r w:rsidR="00336FCC">
        <w:rPr>
          <w:rFonts w:hint="eastAsia"/>
          <w:sz w:val="24"/>
          <w:szCs w:val="24"/>
        </w:rPr>
        <w:t>2020年</w:t>
      </w:r>
      <w:r>
        <w:rPr>
          <w:rFonts w:hint="eastAsia"/>
          <w:sz w:val="24"/>
          <w:szCs w:val="24"/>
        </w:rPr>
        <w:t>中国经济</w:t>
      </w:r>
      <w:r w:rsidR="001B79D3">
        <w:rPr>
          <w:rFonts w:hint="eastAsia"/>
          <w:sz w:val="24"/>
          <w:szCs w:val="24"/>
        </w:rPr>
        <w:t>仍</w:t>
      </w:r>
      <w:r>
        <w:rPr>
          <w:rFonts w:hint="eastAsia"/>
          <w:sz w:val="24"/>
          <w:szCs w:val="24"/>
        </w:rPr>
        <w:t>面临</w:t>
      </w:r>
      <w:r w:rsidR="001B79D3">
        <w:rPr>
          <w:rFonts w:hint="eastAsia"/>
          <w:sz w:val="24"/>
          <w:szCs w:val="24"/>
        </w:rPr>
        <w:t>不确定性</w:t>
      </w:r>
      <w:r>
        <w:rPr>
          <w:rFonts w:hint="eastAsia"/>
          <w:sz w:val="24"/>
          <w:szCs w:val="24"/>
        </w:rPr>
        <w:t>，短期经济增速大幅</w:t>
      </w:r>
      <w:r>
        <w:rPr>
          <w:rFonts w:hint="eastAsia"/>
          <w:sz w:val="24"/>
          <w:szCs w:val="24"/>
        </w:rPr>
        <w:lastRenderedPageBreak/>
        <w:t>反弹的可能性</w:t>
      </w:r>
      <w:r w:rsidR="00C11322">
        <w:rPr>
          <w:rFonts w:hint="eastAsia"/>
          <w:sz w:val="24"/>
          <w:szCs w:val="24"/>
        </w:rPr>
        <w:t>较</w:t>
      </w:r>
      <w:r>
        <w:rPr>
          <w:rFonts w:hint="eastAsia"/>
          <w:sz w:val="24"/>
          <w:szCs w:val="24"/>
        </w:rPr>
        <w:t>低，经济结构性增长成为主线，</w:t>
      </w:r>
      <w:r w:rsidR="00664F3E">
        <w:rPr>
          <w:rFonts w:hint="eastAsia"/>
          <w:sz w:val="24"/>
          <w:szCs w:val="24"/>
        </w:rPr>
        <w:t>对应上市公司业绩整体上难</w:t>
      </w:r>
      <w:r w:rsidR="00276C09">
        <w:rPr>
          <w:rFonts w:hint="eastAsia"/>
          <w:sz w:val="24"/>
          <w:szCs w:val="24"/>
        </w:rPr>
        <w:t>有</w:t>
      </w:r>
      <w:r w:rsidR="00664F3E">
        <w:rPr>
          <w:rFonts w:hint="eastAsia"/>
          <w:sz w:val="24"/>
          <w:szCs w:val="24"/>
        </w:rPr>
        <w:t>大幅提升，</w:t>
      </w:r>
      <w:r w:rsidR="00276C09">
        <w:rPr>
          <w:rFonts w:hint="eastAsia"/>
          <w:sz w:val="24"/>
          <w:szCs w:val="24"/>
        </w:rPr>
        <w:t>更多地也是结构性增长，同时</w:t>
      </w:r>
      <w:r w:rsidR="00664F3E">
        <w:rPr>
          <w:rFonts w:hint="eastAsia"/>
          <w:sz w:val="24"/>
          <w:szCs w:val="24"/>
        </w:rPr>
        <w:t>在央行流动性不大放水的背景下，估值也难以大幅提升，因此我们判断2020年更多地是结构性慢牛行情</w:t>
      </w:r>
      <w:r>
        <w:rPr>
          <w:rFonts w:hint="eastAsia"/>
          <w:sz w:val="24"/>
          <w:szCs w:val="24"/>
        </w:rPr>
        <w:t>。</w:t>
      </w:r>
      <w:r w:rsidR="00057997">
        <w:rPr>
          <w:rFonts w:hint="eastAsia"/>
          <w:sz w:val="24"/>
          <w:szCs w:val="24"/>
        </w:rPr>
        <w:t>另一方面，</w:t>
      </w:r>
      <w:r w:rsidR="001426AC">
        <w:rPr>
          <w:rFonts w:hint="eastAsia"/>
          <w:sz w:val="24"/>
          <w:szCs w:val="24"/>
        </w:rPr>
        <w:t>各行业集中度提升，</w:t>
      </w:r>
      <w:r w:rsidR="001426AC" w:rsidRPr="006A2B83">
        <w:rPr>
          <w:rFonts w:hint="eastAsia"/>
          <w:sz w:val="24"/>
          <w:szCs w:val="24"/>
        </w:rPr>
        <w:t>业绩突出的</w:t>
      </w:r>
      <w:r w:rsidR="00DB2338">
        <w:rPr>
          <w:rFonts w:hint="eastAsia"/>
          <w:sz w:val="24"/>
          <w:szCs w:val="24"/>
        </w:rPr>
        <w:t>上市</w:t>
      </w:r>
      <w:r w:rsidR="001426AC" w:rsidRPr="006A2B83">
        <w:rPr>
          <w:rFonts w:hint="eastAsia"/>
          <w:sz w:val="24"/>
          <w:szCs w:val="24"/>
        </w:rPr>
        <w:t>公司马太效应显著，资源向优势龙头公司集中</w:t>
      </w:r>
      <w:r w:rsidR="001426AC">
        <w:rPr>
          <w:rFonts w:hint="eastAsia"/>
          <w:sz w:val="24"/>
          <w:szCs w:val="24"/>
        </w:rPr>
        <w:t>，同时随着</w:t>
      </w:r>
      <w:r>
        <w:rPr>
          <w:rFonts w:hint="eastAsia"/>
          <w:sz w:val="24"/>
          <w:szCs w:val="24"/>
        </w:rPr>
        <w:t>国内资本市场开放，外资持续流入，机构投资者占比不断提升，投资策略将更加注重于公司的长期业绩而非短期风格</w:t>
      </w:r>
      <w:r w:rsidR="001426AC">
        <w:rPr>
          <w:rFonts w:hint="eastAsia"/>
          <w:sz w:val="24"/>
          <w:szCs w:val="24"/>
        </w:rPr>
        <w:t>，</w:t>
      </w:r>
      <w:r w:rsidR="00057997">
        <w:rPr>
          <w:rFonts w:hint="eastAsia"/>
          <w:sz w:val="24"/>
          <w:szCs w:val="24"/>
        </w:rPr>
        <w:t>在结构性行情中</w:t>
      </w:r>
      <w:r>
        <w:rPr>
          <w:rFonts w:hint="eastAsia"/>
          <w:sz w:val="24"/>
          <w:szCs w:val="24"/>
        </w:rPr>
        <w:t>蓝筹龙头公司将持续获得超额收益。</w:t>
      </w:r>
      <w:r w:rsidR="00A9005C">
        <w:rPr>
          <w:rFonts w:hint="eastAsia"/>
          <w:sz w:val="24"/>
          <w:szCs w:val="24"/>
        </w:rPr>
        <w:t>2020</w:t>
      </w:r>
      <w:r w:rsidRPr="0066056E">
        <w:rPr>
          <w:sz w:val="24"/>
          <w:szCs w:val="24"/>
        </w:rPr>
        <w:t>年继续看好</w:t>
      </w:r>
      <w:r w:rsidR="00806893">
        <w:rPr>
          <w:rFonts w:hint="eastAsia"/>
          <w:sz w:val="24"/>
          <w:szCs w:val="24"/>
        </w:rPr>
        <w:t>业绩确定性高</w:t>
      </w:r>
      <w:r>
        <w:rPr>
          <w:rFonts w:hint="eastAsia"/>
          <w:sz w:val="24"/>
          <w:szCs w:val="24"/>
        </w:rPr>
        <w:t>的</w:t>
      </w:r>
      <w:r w:rsidR="00B0599F">
        <w:rPr>
          <w:rFonts w:hint="eastAsia"/>
          <w:sz w:val="24"/>
          <w:szCs w:val="24"/>
        </w:rPr>
        <w:t>龙头公司</w:t>
      </w:r>
      <w:r>
        <w:rPr>
          <w:rFonts w:hint="eastAsia"/>
          <w:sz w:val="24"/>
          <w:szCs w:val="24"/>
        </w:rPr>
        <w:t>，</w:t>
      </w:r>
      <w:r w:rsidR="0011452D">
        <w:rPr>
          <w:rFonts w:hint="eastAsia"/>
          <w:sz w:val="24"/>
          <w:szCs w:val="24"/>
        </w:rPr>
        <w:t>均衡配置</w:t>
      </w:r>
      <w:r w:rsidR="00B0599F">
        <w:rPr>
          <w:rFonts w:hint="eastAsia"/>
          <w:sz w:val="24"/>
          <w:szCs w:val="24"/>
        </w:rPr>
        <w:t>，关注</w:t>
      </w:r>
      <w:r w:rsidR="00EB5293">
        <w:rPr>
          <w:rFonts w:hint="eastAsia"/>
          <w:sz w:val="24"/>
          <w:szCs w:val="24"/>
        </w:rPr>
        <w:t>高端装备制造业、新能源、新能源汽车、</w:t>
      </w:r>
      <w:r w:rsidR="009E19CC">
        <w:rPr>
          <w:rFonts w:hint="eastAsia"/>
          <w:sz w:val="24"/>
          <w:szCs w:val="24"/>
        </w:rPr>
        <w:t>消费电子等</w:t>
      </w:r>
      <w:r w:rsidR="00030EA8">
        <w:rPr>
          <w:rFonts w:hint="eastAsia"/>
          <w:sz w:val="24"/>
          <w:szCs w:val="24"/>
        </w:rPr>
        <w:t>新兴产业</w:t>
      </w:r>
      <w:r w:rsidR="0014463E">
        <w:rPr>
          <w:rFonts w:hint="eastAsia"/>
          <w:sz w:val="24"/>
          <w:szCs w:val="24"/>
        </w:rPr>
        <w:t>中</w:t>
      </w:r>
      <w:r w:rsidR="00030EA8">
        <w:rPr>
          <w:rFonts w:hint="eastAsia"/>
          <w:sz w:val="24"/>
          <w:szCs w:val="24"/>
        </w:rPr>
        <w:t>有</w:t>
      </w:r>
      <w:r w:rsidR="0014463E">
        <w:rPr>
          <w:rFonts w:hint="eastAsia"/>
          <w:sz w:val="24"/>
          <w:szCs w:val="24"/>
        </w:rPr>
        <w:t>业绩驱动、涨幅不大的</w:t>
      </w:r>
      <w:r w:rsidR="00030EA8">
        <w:rPr>
          <w:rFonts w:hint="eastAsia"/>
          <w:sz w:val="24"/>
          <w:szCs w:val="24"/>
        </w:rPr>
        <w:t>高成长公司</w:t>
      </w:r>
      <w:r w:rsidR="00B0599F">
        <w:rPr>
          <w:rFonts w:hint="eastAsia"/>
          <w:sz w:val="24"/>
          <w:szCs w:val="24"/>
        </w:rPr>
        <w:t>，警惕</w:t>
      </w:r>
      <w:r w:rsidR="00043C83">
        <w:rPr>
          <w:rFonts w:hint="eastAsia"/>
          <w:sz w:val="24"/>
          <w:szCs w:val="24"/>
        </w:rPr>
        <w:t>部分业绩不实、估值虚高的科技股出现向下波动</w:t>
      </w:r>
      <w:r w:rsidR="00451AA7">
        <w:rPr>
          <w:rFonts w:hint="eastAsia"/>
          <w:sz w:val="24"/>
          <w:szCs w:val="24"/>
        </w:rPr>
        <w:t>加大</w:t>
      </w:r>
      <w:r w:rsidR="00043C83">
        <w:rPr>
          <w:rFonts w:hint="eastAsia"/>
          <w:sz w:val="24"/>
          <w:szCs w:val="24"/>
        </w:rPr>
        <w:t>的风险</w:t>
      </w:r>
      <w:r>
        <w:rPr>
          <w:rFonts w:hint="eastAsia"/>
          <w:sz w:val="24"/>
          <w:szCs w:val="24"/>
        </w:rPr>
        <w:t>。</w:t>
      </w:r>
    </w:p>
    <w:p w14:paraId="2AA55C52" w14:textId="6FF62217" w:rsidR="0051504E" w:rsidRPr="00DA583B" w:rsidRDefault="0051504E" w:rsidP="0051504E">
      <w:pPr>
        <w:spacing w:line="360" w:lineRule="auto"/>
        <w:ind w:firstLineChars="200" w:firstLine="480"/>
        <w:rPr>
          <w:sz w:val="24"/>
          <w:szCs w:val="24"/>
        </w:rPr>
      </w:pPr>
      <w:r w:rsidRPr="00DA583B">
        <w:rPr>
          <w:rFonts w:hint="eastAsia"/>
          <w:sz w:val="24"/>
          <w:szCs w:val="24"/>
        </w:rPr>
        <w:t>作为投资风格定位于绝对收益的公</w:t>
      </w:r>
      <w:proofErr w:type="gramStart"/>
      <w:r w:rsidRPr="00DA583B">
        <w:rPr>
          <w:rFonts w:hint="eastAsia"/>
          <w:sz w:val="24"/>
          <w:szCs w:val="24"/>
        </w:rPr>
        <w:t>募基金</w:t>
      </w:r>
      <w:proofErr w:type="gramEnd"/>
      <w:r w:rsidRPr="00DA583B">
        <w:rPr>
          <w:rFonts w:hint="eastAsia"/>
          <w:sz w:val="24"/>
          <w:szCs w:val="24"/>
        </w:rPr>
        <w:t>管理人，</w:t>
      </w:r>
      <w:r w:rsidR="009367F8">
        <w:rPr>
          <w:rFonts w:hint="eastAsia"/>
          <w:sz w:val="24"/>
          <w:szCs w:val="24"/>
        </w:rPr>
        <w:t>追求</w:t>
      </w:r>
      <w:r w:rsidR="0035094A">
        <w:rPr>
          <w:rFonts w:hint="eastAsia"/>
          <w:sz w:val="24"/>
          <w:szCs w:val="24"/>
        </w:rPr>
        <w:t>“有目标的绝对收益，有风控的价值投资”的投资理念</w:t>
      </w:r>
      <w:r w:rsidR="00945F15">
        <w:rPr>
          <w:rFonts w:hint="eastAsia"/>
          <w:sz w:val="24"/>
          <w:szCs w:val="24"/>
        </w:rPr>
        <w:t>，</w:t>
      </w:r>
      <w:r w:rsidR="009367F8">
        <w:rPr>
          <w:rFonts w:hint="eastAsia"/>
          <w:sz w:val="24"/>
          <w:szCs w:val="24"/>
        </w:rPr>
        <w:t>在</w:t>
      </w:r>
      <w:r>
        <w:rPr>
          <w:rFonts w:hint="eastAsia"/>
          <w:sz w:val="24"/>
          <w:szCs w:val="24"/>
        </w:rPr>
        <w:t>投资策略</w:t>
      </w:r>
      <w:r w:rsidR="009367F8">
        <w:rPr>
          <w:rFonts w:hint="eastAsia"/>
          <w:sz w:val="24"/>
          <w:szCs w:val="24"/>
        </w:rPr>
        <w:t>方面</w:t>
      </w:r>
      <w:r>
        <w:rPr>
          <w:rFonts w:hint="eastAsia"/>
          <w:sz w:val="24"/>
          <w:szCs w:val="24"/>
        </w:rPr>
        <w:t>除了注重投资方向，还需</w:t>
      </w:r>
      <w:r w:rsidRPr="00DA583B">
        <w:rPr>
          <w:rFonts w:hint="eastAsia"/>
          <w:sz w:val="24"/>
          <w:szCs w:val="24"/>
        </w:rPr>
        <w:t>强化风险管理</w:t>
      </w:r>
      <w:r>
        <w:rPr>
          <w:rFonts w:hint="eastAsia"/>
          <w:sz w:val="24"/>
          <w:szCs w:val="24"/>
        </w:rPr>
        <w:t>。</w:t>
      </w:r>
      <w:proofErr w:type="gramStart"/>
      <w:r>
        <w:rPr>
          <w:rFonts w:hint="eastAsia"/>
          <w:sz w:val="24"/>
          <w:szCs w:val="24"/>
        </w:rPr>
        <w:t>国融基金</w:t>
      </w:r>
      <w:proofErr w:type="gramEnd"/>
      <w:r w:rsidRPr="00DA583B">
        <w:rPr>
          <w:sz w:val="24"/>
          <w:szCs w:val="24"/>
        </w:rPr>
        <w:t>在给客户获得</w:t>
      </w:r>
      <w:r w:rsidR="00B959B3">
        <w:rPr>
          <w:rFonts w:hint="eastAsia"/>
          <w:sz w:val="24"/>
          <w:szCs w:val="24"/>
        </w:rPr>
        <w:t>较高</w:t>
      </w:r>
      <w:r w:rsidRPr="00DA583B">
        <w:rPr>
          <w:sz w:val="24"/>
          <w:szCs w:val="24"/>
        </w:rPr>
        <w:t>的投资收益同时，合理控制回撤风险，</w:t>
      </w:r>
      <w:r w:rsidR="00B959B3">
        <w:rPr>
          <w:rFonts w:hint="eastAsia"/>
          <w:sz w:val="24"/>
          <w:szCs w:val="24"/>
        </w:rPr>
        <w:t>注重</w:t>
      </w:r>
      <w:r w:rsidR="00B318FB">
        <w:rPr>
          <w:rFonts w:hint="eastAsia"/>
          <w:sz w:val="24"/>
          <w:szCs w:val="24"/>
        </w:rPr>
        <w:t>产品</w:t>
      </w:r>
      <w:r w:rsidR="00B959B3">
        <w:rPr>
          <w:rFonts w:hint="eastAsia"/>
          <w:sz w:val="24"/>
          <w:szCs w:val="24"/>
        </w:rPr>
        <w:t>分红，</w:t>
      </w:r>
      <w:r w:rsidRPr="00DA583B">
        <w:rPr>
          <w:sz w:val="24"/>
          <w:szCs w:val="24"/>
        </w:rPr>
        <w:t>给客户</w:t>
      </w:r>
      <w:r w:rsidR="00073055">
        <w:rPr>
          <w:rFonts w:hint="eastAsia"/>
          <w:sz w:val="24"/>
          <w:szCs w:val="24"/>
        </w:rPr>
        <w:t>获得</w:t>
      </w:r>
      <w:r w:rsidRPr="00DA583B">
        <w:rPr>
          <w:sz w:val="24"/>
          <w:szCs w:val="24"/>
        </w:rPr>
        <w:t>优良的持有体验。</w:t>
      </w:r>
    </w:p>
    <w:p w14:paraId="24D392A1" w14:textId="77777777" w:rsidR="0051504E" w:rsidRDefault="0051504E" w:rsidP="0051504E">
      <w:pPr>
        <w:spacing w:line="360" w:lineRule="auto"/>
        <w:rPr>
          <w:sz w:val="24"/>
          <w:szCs w:val="24"/>
        </w:rPr>
      </w:pPr>
    </w:p>
    <w:p w14:paraId="63ACDFFC" w14:textId="77777777" w:rsidR="0051504E" w:rsidRDefault="0051504E" w:rsidP="0051504E">
      <w:pPr>
        <w:spacing w:line="360" w:lineRule="auto"/>
        <w:rPr>
          <w:sz w:val="24"/>
          <w:szCs w:val="24"/>
        </w:rPr>
      </w:pPr>
      <w:r>
        <w:rPr>
          <w:rFonts w:hint="eastAsia"/>
          <w:sz w:val="24"/>
          <w:szCs w:val="24"/>
        </w:rPr>
        <w:t xml:space="preserve"> </w:t>
      </w:r>
      <w:r>
        <w:rPr>
          <w:sz w:val="24"/>
          <w:szCs w:val="24"/>
        </w:rPr>
        <w:t xml:space="preserve">                                                </w:t>
      </w:r>
      <w:proofErr w:type="gramStart"/>
      <w:r>
        <w:rPr>
          <w:rFonts w:hint="eastAsia"/>
          <w:sz w:val="24"/>
          <w:szCs w:val="24"/>
        </w:rPr>
        <w:t>国融基金</w:t>
      </w:r>
      <w:proofErr w:type="gramEnd"/>
      <w:r>
        <w:rPr>
          <w:rFonts w:hint="eastAsia"/>
          <w:sz w:val="24"/>
          <w:szCs w:val="24"/>
        </w:rPr>
        <w:t>投资研究部</w:t>
      </w:r>
    </w:p>
    <w:p w14:paraId="7A19BAE8" w14:textId="27F8E257" w:rsidR="0051504E" w:rsidRDefault="0051504E" w:rsidP="0051504E">
      <w:pPr>
        <w:spacing w:line="360" w:lineRule="auto"/>
        <w:rPr>
          <w:sz w:val="24"/>
          <w:szCs w:val="24"/>
        </w:rPr>
      </w:pPr>
      <w:r>
        <w:rPr>
          <w:rFonts w:hint="eastAsia"/>
          <w:sz w:val="24"/>
          <w:szCs w:val="24"/>
        </w:rPr>
        <w:t xml:space="preserve"> </w:t>
      </w:r>
      <w:r>
        <w:rPr>
          <w:sz w:val="24"/>
          <w:szCs w:val="24"/>
        </w:rPr>
        <w:t xml:space="preserve">                                                     20</w:t>
      </w:r>
      <w:r w:rsidR="008A3AEC">
        <w:rPr>
          <w:rFonts w:hint="eastAsia"/>
          <w:sz w:val="24"/>
          <w:szCs w:val="24"/>
        </w:rPr>
        <w:t>20</w:t>
      </w:r>
      <w:r>
        <w:rPr>
          <w:sz w:val="24"/>
          <w:szCs w:val="24"/>
        </w:rPr>
        <w:t>.1.</w:t>
      </w:r>
      <w:r w:rsidR="00154DEF">
        <w:rPr>
          <w:rFonts w:hint="eastAsia"/>
          <w:sz w:val="24"/>
          <w:szCs w:val="24"/>
        </w:rPr>
        <w:t>3</w:t>
      </w:r>
    </w:p>
    <w:p w14:paraId="482459DB" w14:textId="77777777" w:rsidR="0051504E" w:rsidRDefault="0051504E" w:rsidP="0051504E">
      <w:pPr>
        <w:spacing w:line="360" w:lineRule="auto"/>
        <w:rPr>
          <w:sz w:val="24"/>
          <w:szCs w:val="24"/>
        </w:rPr>
      </w:pPr>
    </w:p>
    <w:p w14:paraId="3597FEE6" w14:textId="77777777" w:rsidR="0051504E" w:rsidRPr="00F93BF3" w:rsidRDefault="0051504E" w:rsidP="0051504E">
      <w:pPr>
        <w:ind w:right="330"/>
        <w:jc w:val="left"/>
        <w:rPr>
          <w:rFonts w:ascii="仿宋" w:eastAsia="仿宋" w:hAnsi="仿宋"/>
          <w:b/>
          <w:color w:val="1F3864" w:themeColor="accent1" w:themeShade="80"/>
          <w:sz w:val="24"/>
          <w:szCs w:val="24"/>
        </w:rPr>
      </w:pPr>
      <w:r w:rsidRPr="00F93BF3">
        <w:rPr>
          <w:rFonts w:ascii="仿宋" w:eastAsia="仿宋" w:hAnsi="仿宋" w:hint="eastAsia"/>
          <w:b/>
          <w:color w:val="1F3864" w:themeColor="accent1" w:themeShade="80"/>
          <w:sz w:val="24"/>
          <w:szCs w:val="24"/>
        </w:rPr>
        <w:t>免责声明：</w:t>
      </w:r>
    </w:p>
    <w:p w14:paraId="231A9D51" w14:textId="77777777" w:rsidR="0051504E" w:rsidRPr="00F93BF3" w:rsidRDefault="0051504E" w:rsidP="0051504E">
      <w:pPr>
        <w:ind w:right="329" w:firstLineChars="200" w:firstLine="480"/>
        <w:jc w:val="left"/>
        <w:rPr>
          <w:rFonts w:ascii="仿宋" w:eastAsia="仿宋" w:hAnsi="仿宋"/>
          <w:sz w:val="24"/>
          <w:szCs w:val="24"/>
        </w:rPr>
      </w:pPr>
      <w:r w:rsidRPr="00F93BF3">
        <w:rPr>
          <w:rFonts w:ascii="仿宋" w:eastAsia="仿宋" w:hAnsi="仿宋" w:hint="eastAsia"/>
          <w:sz w:val="24"/>
          <w:szCs w:val="24"/>
        </w:rPr>
        <w:t>未经</w:t>
      </w:r>
      <w:proofErr w:type="gramStart"/>
      <w:r w:rsidRPr="00F93BF3">
        <w:rPr>
          <w:rFonts w:ascii="仿宋" w:eastAsia="仿宋" w:hAnsi="仿宋" w:hint="eastAsia"/>
          <w:sz w:val="24"/>
          <w:szCs w:val="24"/>
        </w:rPr>
        <w:t>国融基金</w:t>
      </w:r>
      <w:proofErr w:type="gramEnd"/>
      <w:r w:rsidRPr="00F93BF3">
        <w:rPr>
          <w:rFonts w:ascii="仿宋" w:eastAsia="仿宋" w:hAnsi="仿宋" w:hint="eastAsia"/>
          <w:sz w:val="24"/>
          <w:szCs w:val="24"/>
        </w:rPr>
        <w:t>管理有限公司事先书面许可，任何人、机构不得将此文件或其任何部分以任何形式进行派发、复制、转载或发布，且不得对本文件进行任何有悖原意的删节或修改。本报告所载信息来源于本公司认为可靠的渠道和分析师个人判断，但本公司不对其准确性或完整性提供直接或隐含的声明或保证。投资有风险，可能发生投资损失。过去业绩表现或任何预测都不预示其将来投资结果。此报告不应被接收者作为其投资决策的依据，本公司或本公司的相关部门、雇员不对任何人使用此报告内容的行为或由此而引致</w:t>
      </w:r>
      <w:r w:rsidRPr="00F93BF3">
        <w:rPr>
          <w:rFonts w:ascii="仿宋" w:eastAsia="仿宋" w:hAnsi="仿宋" w:hint="eastAsia"/>
          <w:sz w:val="24"/>
          <w:szCs w:val="24"/>
        </w:rPr>
        <w:lastRenderedPageBreak/>
        <w:t>的任何损失承担任何责任。本文的知识产权由</w:t>
      </w:r>
      <w:proofErr w:type="gramStart"/>
      <w:r w:rsidRPr="00F93BF3">
        <w:rPr>
          <w:rFonts w:ascii="仿宋" w:eastAsia="仿宋" w:hAnsi="仿宋" w:hint="eastAsia"/>
          <w:sz w:val="24"/>
          <w:szCs w:val="24"/>
        </w:rPr>
        <w:t>国融基金</w:t>
      </w:r>
      <w:proofErr w:type="gramEnd"/>
      <w:r w:rsidRPr="00F93BF3">
        <w:rPr>
          <w:rFonts w:ascii="仿宋" w:eastAsia="仿宋" w:hAnsi="仿宋" w:hint="eastAsia"/>
          <w:sz w:val="24"/>
          <w:szCs w:val="24"/>
        </w:rPr>
        <w:t>管理有限公司所有。本文件为内部资料，仅供</w:t>
      </w:r>
      <w:proofErr w:type="gramStart"/>
      <w:r w:rsidRPr="00F93BF3">
        <w:rPr>
          <w:rFonts w:ascii="仿宋" w:eastAsia="仿宋" w:hAnsi="仿宋" w:hint="eastAsia"/>
          <w:sz w:val="24"/>
          <w:szCs w:val="24"/>
        </w:rPr>
        <w:t>国融基金</w:t>
      </w:r>
      <w:proofErr w:type="gramEnd"/>
      <w:r w:rsidRPr="00F93BF3">
        <w:rPr>
          <w:rFonts w:ascii="仿宋" w:eastAsia="仿宋" w:hAnsi="仿宋" w:hint="eastAsia"/>
          <w:sz w:val="24"/>
          <w:szCs w:val="24"/>
        </w:rPr>
        <w:t>管理有限公司向符合条件的特定客户发送。</w:t>
      </w:r>
    </w:p>
    <w:p w14:paraId="4F11E525" w14:textId="77777777" w:rsidR="0051504E" w:rsidRPr="00165A68" w:rsidRDefault="0051504E" w:rsidP="0051504E">
      <w:pPr>
        <w:spacing w:line="360" w:lineRule="auto"/>
        <w:rPr>
          <w:sz w:val="24"/>
          <w:szCs w:val="24"/>
        </w:rPr>
      </w:pPr>
    </w:p>
    <w:sectPr w:rsidR="0051504E" w:rsidRPr="00165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53F0" w14:textId="77777777" w:rsidR="00050BFE" w:rsidRDefault="00050BFE" w:rsidP="00E912D1">
      <w:r>
        <w:separator/>
      </w:r>
    </w:p>
  </w:endnote>
  <w:endnote w:type="continuationSeparator" w:id="0">
    <w:p w14:paraId="20EA387D" w14:textId="77777777" w:rsidR="00050BFE" w:rsidRDefault="00050BFE" w:rsidP="00E9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C8FD" w14:textId="77777777" w:rsidR="00050BFE" w:rsidRDefault="00050BFE" w:rsidP="00E912D1">
      <w:r>
        <w:separator/>
      </w:r>
    </w:p>
  </w:footnote>
  <w:footnote w:type="continuationSeparator" w:id="0">
    <w:p w14:paraId="3BD90DC2" w14:textId="77777777" w:rsidR="00050BFE" w:rsidRDefault="00050BFE" w:rsidP="00E9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D8"/>
    <w:rsid w:val="00013D70"/>
    <w:rsid w:val="00030EA8"/>
    <w:rsid w:val="00033B15"/>
    <w:rsid w:val="00043C83"/>
    <w:rsid w:val="00050BFE"/>
    <w:rsid w:val="00057997"/>
    <w:rsid w:val="000724FB"/>
    <w:rsid w:val="00073055"/>
    <w:rsid w:val="00085C6B"/>
    <w:rsid w:val="00092953"/>
    <w:rsid w:val="000B56B3"/>
    <w:rsid w:val="000F2E3C"/>
    <w:rsid w:val="000F57CF"/>
    <w:rsid w:val="0011452D"/>
    <w:rsid w:val="00130E2B"/>
    <w:rsid w:val="00131AD3"/>
    <w:rsid w:val="001426AC"/>
    <w:rsid w:val="0014463E"/>
    <w:rsid w:val="00154DEF"/>
    <w:rsid w:val="001562A2"/>
    <w:rsid w:val="00163084"/>
    <w:rsid w:val="00182A45"/>
    <w:rsid w:val="00187025"/>
    <w:rsid w:val="001B79D3"/>
    <w:rsid w:val="001E0BBC"/>
    <w:rsid w:val="00253550"/>
    <w:rsid w:val="00264FEA"/>
    <w:rsid w:val="002757C1"/>
    <w:rsid w:val="00276C09"/>
    <w:rsid w:val="002A33CD"/>
    <w:rsid w:val="002A58E3"/>
    <w:rsid w:val="00311587"/>
    <w:rsid w:val="00321415"/>
    <w:rsid w:val="00321634"/>
    <w:rsid w:val="00324E53"/>
    <w:rsid w:val="00330327"/>
    <w:rsid w:val="00336FCC"/>
    <w:rsid w:val="00341004"/>
    <w:rsid w:val="0035094A"/>
    <w:rsid w:val="00357291"/>
    <w:rsid w:val="0037357B"/>
    <w:rsid w:val="00383B33"/>
    <w:rsid w:val="003B51DC"/>
    <w:rsid w:val="003F7D9C"/>
    <w:rsid w:val="0040779E"/>
    <w:rsid w:val="004206EA"/>
    <w:rsid w:val="00451AA7"/>
    <w:rsid w:val="00490ADF"/>
    <w:rsid w:val="00492A06"/>
    <w:rsid w:val="004A675F"/>
    <w:rsid w:val="004B5788"/>
    <w:rsid w:val="004E75F1"/>
    <w:rsid w:val="00507267"/>
    <w:rsid w:val="0051504E"/>
    <w:rsid w:val="00517D4B"/>
    <w:rsid w:val="005619EA"/>
    <w:rsid w:val="005634B6"/>
    <w:rsid w:val="00575976"/>
    <w:rsid w:val="0059460E"/>
    <w:rsid w:val="005A4C5A"/>
    <w:rsid w:val="005E1799"/>
    <w:rsid w:val="00653F47"/>
    <w:rsid w:val="00664F3E"/>
    <w:rsid w:val="006659AD"/>
    <w:rsid w:val="006857AA"/>
    <w:rsid w:val="006E3A46"/>
    <w:rsid w:val="00766A7B"/>
    <w:rsid w:val="00773CF2"/>
    <w:rsid w:val="00776240"/>
    <w:rsid w:val="00784BEE"/>
    <w:rsid w:val="007A259C"/>
    <w:rsid w:val="007A3910"/>
    <w:rsid w:val="007D08F2"/>
    <w:rsid w:val="007F7515"/>
    <w:rsid w:val="00801C02"/>
    <w:rsid w:val="0080636C"/>
    <w:rsid w:val="00806893"/>
    <w:rsid w:val="00821B51"/>
    <w:rsid w:val="00835C7A"/>
    <w:rsid w:val="008415CB"/>
    <w:rsid w:val="0085120C"/>
    <w:rsid w:val="00857AEB"/>
    <w:rsid w:val="00865C61"/>
    <w:rsid w:val="008674F6"/>
    <w:rsid w:val="008A3AEC"/>
    <w:rsid w:val="008C0B79"/>
    <w:rsid w:val="008F52D2"/>
    <w:rsid w:val="0090082E"/>
    <w:rsid w:val="00923ED4"/>
    <w:rsid w:val="00925B4A"/>
    <w:rsid w:val="009367F8"/>
    <w:rsid w:val="00945F15"/>
    <w:rsid w:val="00952F87"/>
    <w:rsid w:val="009555A8"/>
    <w:rsid w:val="009676A7"/>
    <w:rsid w:val="00984D32"/>
    <w:rsid w:val="009E19CC"/>
    <w:rsid w:val="009F453B"/>
    <w:rsid w:val="00A32598"/>
    <w:rsid w:val="00A9005C"/>
    <w:rsid w:val="00AC4169"/>
    <w:rsid w:val="00AC7F72"/>
    <w:rsid w:val="00AD6897"/>
    <w:rsid w:val="00B0599F"/>
    <w:rsid w:val="00B1192B"/>
    <w:rsid w:val="00B20140"/>
    <w:rsid w:val="00B30BE0"/>
    <w:rsid w:val="00B318FB"/>
    <w:rsid w:val="00B55578"/>
    <w:rsid w:val="00B959B3"/>
    <w:rsid w:val="00BB0C2D"/>
    <w:rsid w:val="00BC6222"/>
    <w:rsid w:val="00C11322"/>
    <w:rsid w:val="00C23770"/>
    <w:rsid w:val="00C8369B"/>
    <w:rsid w:val="00C92A9C"/>
    <w:rsid w:val="00CA1FF5"/>
    <w:rsid w:val="00CC07D4"/>
    <w:rsid w:val="00D00764"/>
    <w:rsid w:val="00D10181"/>
    <w:rsid w:val="00D12F7A"/>
    <w:rsid w:val="00D63E9F"/>
    <w:rsid w:val="00D75F4E"/>
    <w:rsid w:val="00D9058B"/>
    <w:rsid w:val="00DB2338"/>
    <w:rsid w:val="00DD1A65"/>
    <w:rsid w:val="00E239AC"/>
    <w:rsid w:val="00E36ED8"/>
    <w:rsid w:val="00E437E3"/>
    <w:rsid w:val="00E75BF5"/>
    <w:rsid w:val="00E87D84"/>
    <w:rsid w:val="00E912D1"/>
    <w:rsid w:val="00EA0645"/>
    <w:rsid w:val="00EB5293"/>
    <w:rsid w:val="00EC33F7"/>
    <w:rsid w:val="00ED2EEC"/>
    <w:rsid w:val="00EE4FC4"/>
    <w:rsid w:val="00F03E87"/>
    <w:rsid w:val="00F27120"/>
    <w:rsid w:val="00F37292"/>
    <w:rsid w:val="00F455C4"/>
    <w:rsid w:val="00F47813"/>
    <w:rsid w:val="00F762E0"/>
    <w:rsid w:val="00F902C7"/>
    <w:rsid w:val="00F90D5D"/>
    <w:rsid w:val="00F9311E"/>
    <w:rsid w:val="00FA264C"/>
    <w:rsid w:val="00FA4EF1"/>
    <w:rsid w:val="00FA7018"/>
    <w:rsid w:val="00FD1FE2"/>
    <w:rsid w:val="00FE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AE9C"/>
  <w15:chartTrackingRefBased/>
  <w15:docId w15:val="{B9ADDC8A-ED67-403E-98D1-83D2E57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E2B"/>
    <w:rPr>
      <w:sz w:val="18"/>
      <w:szCs w:val="18"/>
    </w:rPr>
  </w:style>
  <w:style w:type="character" w:customStyle="1" w:styleId="a4">
    <w:name w:val="批注框文本 字符"/>
    <w:basedOn w:val="a0"/>
    <w:link w:val="a3"/>
    <w:uiPriority w:val="99"/>
    <w:semiHidden/>
    <w:rsid w:val="00130E2B"/>
    <w:rPr>
      <w:sz w:val="18"/>
      <w:szCs w:val="18"/>
    </w:rPr>
  </w:style>
  <w:style w:type="character" w:styleId="a5">
    <w:name w:val="annotation reference"/>
    <w:basedOn w:val="a0"/>
    <w:uiPriority w:val="99"/>
    <w:semiHidden/>
    <w:unhideWhenUsed/>
    <w:rsid w:val="00130E2B"/>
    <w:rPr>
      <w:sz w:val="21"/>
      <w:szCs w:val="21"/>
    </w:rPr>
  </w:style>
  <w:style w:type="paragraph" w:styleId="a6">
    <w:name w:val="annotation text"/>
    <w:basedOn w:val="a"/>
    <w:link w:val="a7"/>
    <w:uiPriority w:val="99"/>
    <w:semiHidden/>
    <w:unhideWhenUsed/>
    <w:rsid w:val="00130E2B"/>
    <w:pPr>
      <w:jc w:val="left"/>
    </w:pPr>
  </w:style>
  <w:style w:type="character" w:customStyle="1" w:styleId="a7">
    <w:name w:val="批注文字 字符"/>
    <w:basedOn w:val="a0"/>
    <w:link w:val="a6"/>
    <w:uiPriority w:val="99"/>
    <w:semiHidden/>
    <w:rsid w:val="00130E2B"/>
  </w:style>
  <w:style w:type="paragraph" w:styleId="a8">
    <w:name w:val="annotation subject"/>
    <w:basedOn w:val="a6"/>
    <w:next w:val="a6"/>
    <w:link w:val="a9"/>
    <w:uiPriority w:val="99"/>
    <w:semiHidden/>
    <w:unhideWhenUsed/>
    <w:rsid w:val="00130E2B"/>
    <w:rPr>
      <w:b/>
      <w:bCs/>
    </w:rPr>
  </w:style>
  <w:style w:type="character" w:customStyle="1" w:styleId="a9">
    <w:name w:val="批注主题 字符"/>
    <w:basedOn w:val="a7"/>
    <w:link w:val="a8"/>
    <w:uiPriority w:val="99"/>
    <w:semiHidden/>
    <w:rsid w:val="00130E2B"/>
    <w:rPr>
      <w:b/>
      <w:bCs/>
    </w:rPr>
  </w:style>
  <w:style w:type="paragraph" w:styleId="aa">
    <w:name w:val="header"/>
    <w:basedOn w:val="a"/>
    <w:link w:val="ab"/>
    <w:uiPriority w:val="99"/>
    <w:unhideWhenUsed/>
    <w:rsid w:val="00E912D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912D1"/>
    <w:rPr>
      <w:sz w:val="18"/>
      <w:szCs w:val="18"/>
    </w:rPr>
  </w:style>
  <w:style w:type="paragraph" w:styleId="ac">
    <w:name w:val="footer"/>
    <w:basedOn w:val="a"/>
    <w:link w:val="ad"/>
    <w:uiPriority w:val="99"/>
    <w:unhideWhenUsed/>
    <w:rsid w:val="00E912D1"/>
    <w:pPr>
      <w:tabs>
        <w:tab w:val="center" w:pos="4153"/>
        <w:tab w:val="right" w:pos="8306"/>
      </w:tabs>
      <w:snapToGrid w:val="0"/>
      <w:jc w:val="left"/>
    </w:pPr>
    <w:rPr>
      <w:sz w:val="18"/>
      <w:szCs w:val="18"/>
    </w:rPr>
  </w:style>
  <w:style w:type="character" w:customStyle="1" w:styleId="ad">
    <w:name w:val="页脚 字符"/>
    <w:basedOn w:val="a0"/>
    <w:link w:val="ac"/>
    <w:uiPriority w:val="99"/>
    <w:rsid w:val="00E91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GoWin\&#25968;&#25454;&#24211;\&#32929;&#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PE!$B$2:$B$17</c:f>
              <c:strCache>
                <c:ptCount val="16"/>
                <c:pt idx="0">
                  <c:v>恒生指数</c:v>
                </c:pt>
                <c:pt idx="1">
                  <c:v>沪深300</c:v>
                </c:pt>
                <c:pt idx="2">
                  <c:v>上证综指</c:v>
                </c:pt>
                <c:pt idx="3">
                  <c:v>韩国综合指数</c:v>
                </c:pt>
                <c:pt idx="4">
                  <c:v>万得全A</c:v>
                </c:pt>
                <c:pt idx="5">
                  <c:v>富时100</c:v>
                </c:pt>
                <c:pt idx="6">
                  <c:v>日经225</c:v>
                </c:pt>
                <c:pt idx="7">
                  <c:v>法国CAC40</c:v>
                </c:pt>
                <c:pt idx="8">
                  <c:v>道琼斯工业指数</c:v>
                </c:pt>
                <c:pt idx="9">
                  <c:v>标普500</c:v>
                </c:pt>
                <c:pt idx="10">
                  <c:v>德国DAX</c:v>
                </c:pt>
                <c:pt idx="11">
                  <c:v>中证500</c:v>
                </c:pt>
                <c:pt idx="12">
                  <c:v>孟买SENSEX30</c:v>
                </c:pt>
                <c:pt idx="13">
                  <c:v>纳斯达克指数</c:v>
                </c:pt>
                <c:pt idx="14">
                  <c:v>中证1000</c:v>
                </c:pt>
                <c:pt idx="15">
                  <c:v>创业板指</c:v>
                </c:pt>
              </c:strCache>
            </c:strRef>
          </c:tx>
          <c:spPr>
            <a:solidFill>
              <a:schemeClr val="accent1"/>
            </a:solidFill>
            <a:ln>
              <a:noFill/>
            </a:ln>
            <a:effectLst/>
          </c:spPr>
          <c:invertIfNegative val="0"/>
          <c:dLbls>
            <c:numFmt formatCode="#,##0.0_);[Red]\(#,##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PE!$B$2:$B$17</c:f>
              <c:strCache>
                <c:ptCount val="16"/>
                <c:pt idx="0">
                  <c:v>恒生指数</c:v>
                </c:pt>
                <c:pt idx="1">
                  <c:v>沪深300</c:v>
                </c:pt>
                <c:pt idx="2">
                  <c:v>上证综指</c:v>
                </c:pt>
                <c:pt idx="3">
                  <c:v>韩国综合指数</c:v>
                </c:pt>
                <c:pt idx="4">
                  <c:v>万得全A</c:v>
                </c:pt>
                <c:pt idx="5">
                  <c:v>富时100</c:v>
                </c:pt>
                <c:pt idx="6">
                  <c:v>日经225</c:v>
                </c:pt>
                <c:pt idx="7">
                  <c:v>法国CAC40</c:v>
                </c:pt>
                <c:pt idx="8">
                  <c:v>道琼斯工业指数</c:v>
                </c:pt>
                <c:pt idx="9">
                  <c:v>标普500</c:v>
                </c:pt>
                <c:pt idx="10">
                  <c:v>德国DAX</c:v>
                </c:pt>
                <c:pt idx="11">
                  <c:v>中证500</c:v>
                </c:pt>
                <c:pt idx="12">
                  <c:v>孟买SENSEX30</c:v>
                </c:pt>
                <c:pt idx="13">
                  <c:v>纳斯达克指数</c:v>
                </c:pt>
                <c:pt idx="14">
                  <c:v>中证1000</c:v>
                </c:pt>
                <c:pt idx="15">
                  <c:v>创业板指</c:v>
                </c:pt>
              </c:strCache>
            </c:strRef>
          </c:cat>
          <c:val>
            <c:numRef>
              <c:f>PE!$AE$2:$AE$17</c:f>
              <c:numCache>
                <c:formatCode>###,###,##0.00</c:formatCode>
                <c:ptCount val="16"/>
                <c:pt idx="0">
                  <c:v>10.204000473022461</c:v>
                </c:pt>
                <c:pt idx="1">
                  <c:v>12.47760009765625</c:v>
                </c:pt>
                <c:pt idx="2">
                  <c:v>13.114500045776367</c:v>
                </c:pt>
                <c:pt idx="3">
                  <c:v>17.100000000000001</c:v>
                </c:pt>
                <c:pt idx="4">
                  <c:v>17.497699737548828</c:v>
                </c:pt>
                <c:pt idx="5">
                  <c:v>18.248600006103516</c:v>
                </c:pt>
                <c:pt idx="6">
                  <c:v>18.8</c:v>
                </c:pt>
                <c:pt idx="7">
                  <c:v>21.41200065612793</c:v>
                </c:pt>
                <c:pt idx="8">
                  <c:v>21.943700790405273</c:v>
                </c:pt>
                <c:pt idx="9">
                  <c:v>24.069799423217773</c:v>
                </c:pt>
                <c:pt idx="10">
                  <c:v>24.6</c:v>
                </c:pt>
                <c:pt idx="11">
                  <c:v>24.957199096679688</c:v>
                </c:pt>
                <c:pt idx="12">
                  <c:v>26.369400024414063</c:v>
                </c:pt>
                <c:pt idx="13">
                  <c:v>33.644001007080078</c:v>
                </c:pt>
                <c:pt idx="14">
                  <c:v>38.676898956298828</c:v>
                </c:pt>
                <c:pt idx="15">
                  <c:v>49.881599426269531</c:v>
                </c:pt>
              </c:numCache>
            </c:numRef>
          </c:val>
          <c:extLst>
            <c:ext xmlns:c16="http://schemas.microsoft.com/office/drawing/2014/chart" uri="{C3380CC4-5D6E-409C-BE32-E72D297353CC}">
              <c16:uniqueId val="{00000000-9D23-403D-9049-9CBA000D31D1}"/>
            </c:ext>
          </c:extLst>
        </c:ser>
        <c:dLbls>
          <c:dLblPos val="outEnd"/>
          <c:showLegendKey val="0"/>
          <c:showVal val="1"/>
          <c:showCatName val="0"/>
          <c:showSerName val="0"/>
          <c:showPercent val="0"/>
          <c:showBubbleSize val="0"/>
        </c:dLbls>
        <c:gapWidth val="219"/>
        <c:overlap val="-27"/>
        <c:axId val="550376904"/>
        <c:axId val="550377296"/>
      </c:barChart>
      <c:catAx>
        <c:axId val="550376904"/>
        <c:scaling>
          <c:orientation val="minMax"/>
        </c:scaling>
        <c:delete val="0"/>
        <c:axPos val="b"/>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0377296"/>
        <c:crosses val="autoZero"/>
        <c:auto val="1"/>
        <c:lblAlgn val="ctr"/>
        <c:lblOffset val="100"/>
        <c:noMultiLvlLbl val="0"/>
      </c:catAx>
      <c:valAx>
        <c:axId val="550377296"/>
        <c:scaling>
          <c:orientation val="minMax"/>
          <c:max val="60"/>
        </c:scaling>
        <c:delete val="0"/>
        <c:axPos val="l"/>
        <c:numFmt formatCode="#,##0_);[Red]\(#,##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03769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149</cp:revision>
  <dcterms:created xsi:type="dcterms:W3CDTF">2020-01-02T05:36:00Z</dcterms:created>
  <dcterms:modified xsi:type="dcterms:W3CDTF">2020-01-03T06:16:00Z</dcterms:modified>
</cp:coreProperties>
</file>